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8855" w14:textId="77777777" w:rsidR="00367963" w:rsidRDefault="00367963" w:rsidP="00367963">
      <w:pPr>
        <w:pStyle w:val="NormalWeb"/>
        <w:jc w:val="center"/>
      </w:pPr>
      <w:r>
        <w:rPr>
          <w:noProof/>
        </w:rPr>
        <w:drawing>
          <wp:inline distT="0" distB="0" distL="0" distR="0" wp14:anchorId="1ACBFC06" wp14:editId="1E902F2C">
            <wp:extent cx="2788920" cy="1188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3ED0E" w14:textId="77777777" w:rsidR="00367963" w:rsidRDefault="00367963" w:rsidP="00367963">
      <w:pPr>
        <w:pStyle w:val="Heading2"/>
        <w:rPr>
          <w:sz w:val="28"/>
          <w:szCs w:val="28"/>
        </w:rPr>
      </w:pPr>
    </w:p>
    <w:p w14:paraId="5FBA9D16" w14:textId="56172930" w:rsidR="00A63649" w:rsidRPr="004F1F64" w:rsidRDefault="004F1F64" w:rsidP="00367963">
      <w:pPr>
        <w:pStyle w:val="Heading2"/>
        <w:rPr>
          <w:sz w:val="28"/>
          <w:szCs w:val="28"/>
        </w:rPr>
      </w:pPr>
      <w:r w:rsidRPr="004F1F64">
        <w:rPr>
          <w:sz w:val="28"/>
          <w:szCs w:val="28"/>
        </w:rPr>
        <w:t>Strategic PrioritiesBenchmark 1.6 – Leadership Team Strategic Priorities</w:t>
      </w:r>
    </w:p>
    <w:p w14:paraId="15294DB4" w14:textId="44B545C7" w:rsidR="00A63649" w:rsidRDefault="004F1F64">
      <w:r>
        <w:t>The Early College High School (ECHS) Leadership Team, in collaboration with its Institution of Higher Education (IHE) partner, has developed the following long-term strategic priorities. These priorities are designed to guide the program’s implementation and continuous improvement efforts in alignment with the ECHS Blueprint.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3663"/>
        <w:gridCol w:w="3752"/>
        <w:gridCol w:w="2012"/>
      </w:tblGrid>
      <w:tr w:rsidR="00A63649" w14:paraId="0F83B36A" w14:textId="77777777" w:rsidTr="00757B5D">
        <w:tc>
          <w:tcPr>
            <w:tcW w:w="1368" w:type="dxa"/>
            <w:shd w:val="clear" w:color="auto" w:fill="F2F2F2" w:themeFill="background1" w:themeFillShade="F2"/>
          </w:tcPr>
          <w:p w14:paraId="6C96BDC4" w14:textId="77777777" w:rsidR="00A63649" w:rsidRDefault="004F1F64">
            <w:r>
              <w:t>Benchmark</w:t>
            </w:r>
          </w:p>
        </w:tc>
        <w:tc>
          <w:tcPr>
            <w:tcW w:w="3809" w:type="dxa"/>
            <w:shd w:val="clear" w:color="auto" w:fill="F2F2F2" w:themeFill="background1" w:themeFillShade="F2"/>
          </w:tcPr>
          <w:p w14:paraId="6DFAFE10" w14:textId="77777777" w:rsidR="00A63649" w:rsidRDefault="004F1F64">
            <w:r>
              <w:t>Strategic Priority</w:t>
            </w:r>
          </w:p>
        </w:tc>
        <w:tc>
          <w:tcPr>
            <w:tcW w:w="3809" w:type="dxa"/>
            <w:shd w:val="clear" w:color="auto" w:fill="F2F2F2" w:themeFill="background1" w:themeFillShade="F2"/>
          </w:tcPr>
          <w:p w14:paraId="50F1A160" w14:textId="77777777" w:rsidR="00A63649" w:rsidRDefault="004F1F64">
            <w:r>
              <w:t>Key Strategies/Action Steps</w:t>
            </w:r>
          </w:p>
        </w:tc>
        <w:tc>
          <w:tcPr>
            <w:tcW w:w="2012" w:type="dxa"/>
            <w:shd w:val="clear" w:color="auto" w:fill="F2F2F2" w:themeFill="background1" w:themeFillShade="F2"/>
          </w:tcPr>
          <w:p w14:paraId="60C8B990" w14:textId="77777777" w:rsidR="00A63649" w:rsidRDefault="004F1F64">
            <w:r>
              <w:t>Evidence/Timeline</w:t>
            </w:r>
          </w:p>
        </w:tc>
      </w:tr>
      <w:tr w:rsidR="00A63649" w14:paraId="103B5AD0" w14:textId="77777777" w:rsidTr="00757B5D">
        <w:tc>
          <w:tcPr>
            <w:tcW w:w="1368" w:type="dxa"/>
          </w:tcPr>
          <w:p w14:paraId="4A86A4C7" w14:textId="726B325E" w:rsidR="00A63649" w:rsidRDefault="00175462">
            <w:r>
              <w:t>OBMS</w:t>
            </w:r>
          </w:p>
        </w:tc>
        <w:tc>
          <w:tcPr>
            <w:tcW w:w="3809" w:type="dxa"/>
          </w:tcPr>
          <w:p w14:paraId="070AF07B" w14:textId="6CC50021" w:rsidR="00A63649" w:rsidRDefault="00175462">
            <w:r>
              <w:t>Systems to review PEIMS coding</w:t>
            </w:r>
          </w:p>
          <w:p w14:paraId="413189AD" w14:textId="77777777" w:rsidR="009F7688" w:rsidRDefault="009F7688"/>
          <w:p w14:paraId="3285524B" w14:textId="77777777" w:rsidR="009F7688" w:rsidRDefault="009F7688"/>
          <w:p w14:paraId="2A6C33C5" w14:textId="77777777" w:rsidR="009F7688" w:rsidRDefault="009F7688"/>
        </w:tc>
        <w:tc>
          <w:tcPr>
            <w:tcW w:w="3809" w:type="dxa"/>
          </w:tcPr>
          <w:p w14:paraId="6F1020D7" w14:textId="77777777" w:rsidR="00A63649" w:rsidRDefault="00175462">
            <w:r>
              <w:t>Calendar team PEIMS meetings.</w:t>
            </w:r>
          </w:p>
          <w:p w14:paraId="140ADF5D" w14:textId="12C20BA5" w:rsidR="00175462" w:rsidRDefault="00175462">
            <w:r>
              <w:t>Review OBM data to align to tracked data.</w:t>
            </w:r>
          </w:p>
        </w:tc>
        <w:tc>
          <w:tcPr>
            <w:tcW w:w="2012" w:type="dxa"/>
          </w:tcPr>
          <w:p w14:paraId="0027C19D" w14:textId="218918A3" w:rsidR="00A63649" w:rsidRDefault="00175462">
            <w:r>
              <w:t>Fall and Spring prior collection 1 and 2 dates</w:t>
            </w:r>
          </w:p>
        </w:tc>
      </w:tr>
      <w:tr w:rsidR="00A63649" w14:paraId="1C285A85" w14:textId="77777777" w:rsidTr="00757B5D">
        <w:tc>
          <w:tcPr>
            <w:tcW w:w="1368" w:type="dxa"/>
          </w:tcPr>
          <w:p w14:paraId="64D38D0B" w14:textId="77777777" w:rsidR="00A63649" w:rsidRDefault="00DC5BCE">
            <w:r>
              <w:t>TSIA</w:t>
            </w:r>
          </w:p>
          <w:p w14:paraId="50178892" w14:textId="7B573102" w:rsidR="00DC5BCE" w:rsidRDefault="00DC5BCE">
            <w:r>
              <w:t>4.7</w:t>
            </w:r>
          </w:p>
        </w:tc>
        <w:tc>
          <w:tcPr>
            <w:tcW w:w="3809" w:type="dxa"/>
          </w:tcPr>
          <w:p w14:paraId="48E86367" w14:textId="5C0A6CFF" w:rsidR="00A63649" w:rsidRDefault="00DC5BCE">
            <w:r>
              <w:t>Develop intervention strategies to increase ELAR passing rate on TSIA</w:t>
            </w:r>
          </w:p>
          <w:p w14:paraId="52C02128" w14:textId="77777777" w:rsidR="009F7688" w:rsidRDefault="009F7688"/>
          <w:p w14:paraId="30622AD8" w14:textId="77777777" w:rsidR="009F7688" w:rsidRDefault="009F7688"/>
          <w:p w14:paraId="31DF3B4A" w14:textId="77777777" w:rsidR="009F7688" w:rsidRDefault="009F7688"/>
        </w:tc>
        <w:tc>
          <w:tcPr>
            <w:tcW w:w="3809" w:type="dxa"/>
          </w:tcPr>
          <w:p w14:paraId="5BF2414D" w14:textId="10034013" w:rsidR="00A63649" w:rsidRDefault="00DC5BCE">
            <w:r>
              <w:t>Collaborate with ESL instructors/interventionists (Yoder) to develop ELAR strategies to increase ELAR TSIA scores.</w:t>
            </w:r>
          </w:p>
        </w:tc>
        <w:tc>
          <w:tcPr>
            <w:tcW w:w="2012" w:type="dxa"/>
          </w:tcPr>
          <w:p w14:paraId="77C00262" w14:textId="0415FEB0" w:rsidR="00A63649" w:rsidRDefault="00513AFD">
            <w:r>
              <w:t>Spring 2027</w:t>
            </w:r>
          </w:p>
        </w:tc>
      </w:tr>
      <w:tr w:rsidR="00A63649" w14:paraId="29A0B72C" w14:textId="77777777" w:rsidTr="00757B5D">
        <w:tc>
          <w:tcPr>
            <w:tcW w:w="1368" w:type="dxa"/>
          </w:tcPr>
          <w:p w14:paraId="53256FF7" w14:textId="77777777" w:rsidR="00A63649" w:rsidRDefault="00A63649"/>
        </w:tc>
        <w:tc>
          <w:tcPr>
            <w:tcW w:w="3809" w:type="dxa"/>
          </w:tcPr>
          <w:p w14:paraId="7BC8A76E" w14:textId="2FF9B168" w:rsidR="00A63649" w:rsidRDefault="00EC16F1">
            <w:r>
              <w:t>Add dual credit welding to ECHS building.</w:t>
            </w:r>
          </w:p>
          <w:p w14:paraId="4118B2AA" w14:textId="77777777" w:rsidR="009F7688" w:rsidRDefault="009F7688"/>
          <w:p w14:paraId="4DA2CE97" w14:textId="77777777" w:rsidR="009F7688" w:rsidRDefault="009F7688"/>
          <w:p w14:paraId="5E4533CA" w14:textId="77777777" w:rsidR="009F7688" w:rsidRDefault="009F7688"/>
        </w:tc>
        <w:tc>
          <w:tcPr>
            <w:tcW w:w="3809" w:type="dxa"/>
          </w:tcPr>
          <w:p w14:paraId="76F7A956" w14:textId="77777777" w:rsidR="00EC16F1" w:rsidRDefault="00EC16F1" w:rsidP="00EC16F1">
            <w:r>
              <w:t>Develop a plan to incorporate dual credit welding in ECHS building.</w:t>
            </w:r>
          </w:p>
          <w:p w14:paraId="1FE0BD27" w14:textId="77777777" w:rsidR="00A63649" w:rsidRDefault="00A63649"/>
        </w:tc>
        <w:tc>
          <w:tcPr>
            <w:tcW w:w="2012" w:type="dxa"/>
          </w:tcPr>
          <w:p w14:paraId="0BC542CF" w14:textId="44308EDB" w:rsidR="00A63649" w:rsidRDefault="00513AFD">
            <w:r>
              <w:t>Fall 202</w:t>
            </w:r>
            <w:r w:rsidR="00367963">
              <w:t>9</w:t>
            </w:r>
          </w:p>
        </w:tc>
      </w:tr>
      <w:tr w:rsidR="00A63649" w14:paraId="40E6198D" w14:textId="77777777" w:rsidTr="00757B5D">
        <w:tc>
          <w:tcPr>
            <w:tcW w:w="1368" w:type="dxa"/>
          </w:tcPr>
          <w:p w14:paraId="159FE0C3" w14:textId="77777777" w:rsidR="00A63649" w:rsidRDefault="00A63649"/>
        </w:tc>
        <w:tc>
          <w:tcPr>
            <w:tcW w:w="3809" w:type="dxa"/>
          </w:tcPr>
          <w:p w14:paraId="317E6126" w14:textId="77777777" w:rsidR="00A63649" w:rsidRDefault="00A63649"/>
        </w:tc>
        <w:tc>
          <w:tcPr>
            <w:tcW w:w="3809" w:type="dxa"/>
          </w:tcPr>
          <w:p w14:paraId="5861AD25" w14:textId="77777777" w:rsidR="00A63649" w:rsidRDefault="00A63649"/>
        </w:tc>
        <w:tc>
          <w:tcPr>
            <w:tcW w:w="2012" w:type="dxa"/>
          </w:tcPr>
          <w:p w14:paraId="363C4314" w14:textId="77777777" w:rsidR="00A63649" w:rsidRDefault="00A63649"/>
        </w:tc>
      </w:tr>
      <w:tr w:rsidR="00A63649" w14:paraId="6AEA871B" w14:textId="77777777" w:rsidTr="00757B5D">
        <w:tc>
          <w:tcPr>
            <w:tcW w:w="1368" w:type="dxa"/>
          </w:tcPr>
          <w:p w14:paraId="566F1468" w14:textId="77777777" w:rsidR="00A63649" w:rsidRDefault="00A63649"/>
        </w:tc>
        <w:tc>
          <w:tcPr>
            <w:tcW w:w="3809" w:type="dxa"/>
          </w:tcPr>
          <w:p w14:paraId="7E6EBFFB" w14:textId="77777777" w:rsidR="00A63649" w:rsidRDefault="00A63649"/>
        </w:tc>
        <w:tc>
          <w:tcPr>
            <w:tcW w:w="3809" w:type="dxa"/>
          </w:tcPr>
          <w:p w14:paraId="79C7F717" w14:textId="77777777" w:rsidR="00A63649" w:rsidRDefault="00A63649"/>
        </w:tc>
        <w:tc>
          <w:tcPr>
            <w:tcW w:w="2012" w:type="dxa"/>
          </w:tcPr>
          <w:p w14:paraId="075F37C0" w14:textId="77777777" w:rsidR="00A63649" w:rsidRDefault="00A63649"/>
        </w:tc>
      </w:tr>
    </w:tbl>
    <w:p w14:paraId="424E0627" w14:textId="77777777" w:rsidR="00A63649" w:rsidRDefault="004F1F64">
      <w:pPr>
        <w:pStyle w:val="Heading3"/>
      </w:pPr>
      <w:r>
        <w:t>Instructions for Use:</w:t>
      </w:r>
    </w:p>
    <w:p w14:paraId="464EDD03" w14:textId="77777777" w:rsidR="00A63649" w:rsidRDefault="004F1F64">
      <w:r>
        <w:t>- Benchmark: Indicate the relevant Benchmark (e.g., 1.6).</w:t>
      </w:r>
      <w:r>
        <w:br/>
        <w:t>- Strategic Priority: Clearly state the long-term goal tied to the benchmark.</w:t>
      </w:r>
      <w:r>
        <w:br/>
        <w:t>- Key Strategies/Action Steps: Outline the major actions the leadership team will take to achieve the priority.</w:t>
      </w:r>
      <w:r>
        <w:br/>
        <w:t>- Evidence/Timeline: Specify deliverables, evidence of implementation, and the expected timeline for completion.</w:t>
      </w:r>
    </w:p>
    <w:sectPr w:rsidR="00A63649" w:rsidSect="004F1F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4482756">
    <w:abstractNumId w:val="8"/>
  </w:num>
  <w:num w:numId="2" w16cid:durableId="1078329790">
    <w:abstractNumId w:val="6"/>
  </w:num>
  <w:num w:numId="3" w16cid:durableId="1944653586">
    <w:abstractNumId w:val="5"/>
  </w:num>
  <w:num w:numId="4" w16cid:durableId="734008924">
    <w:abstractNumId w:val="4"/>
  </w:num>
  <w:num w:numId="5" w16cid:durableId="367410623">
    <w:abstractNumId w:val="7"/>
  </w:num>
  <w:num w:numId="6" w16cid:durableId="765854846">
    <w:abstractNumId w:val="3"/>
  </w:num>
  <w:num w:numId="7" w16cid:durableId="146867436">
    <w:abstractNumId w:val="2"/>
  </w:num>
  <w:num w:numId="8" w16cid:durableId="275142205">
    <w:abstractNumId w:val="1"/>
  </w:num>
  <w:num w:numId="9" w16cid:durableId="77648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5462"/>
    <w:rsid w:val="00201D94"/>
    <w:rsid w:val="00220FF7"/>
    <w:rsid w:val="0029639D"/>
    <w:rsid w:val="00326F90"/>
    <w:rsid w:val="00367963"/>
    <w:rsid w:val="004A112D"/>
    <w:rsid w:val="004F1F64"/>
    <w:rsid w:val="00513AFD"/>
    <w:rsid w:val="006104F0"/>
    <w:rsid w:val="00757B5D"/>
    <w:rsid w:val="009F7688"/>
    <w:rsid w:val="00A63649"/>
    <w:rsid w:val="00AA1D8D"/>
    <w:rsid w:val="00B47730"/>
    <w:rsid w:val="00CB0664"/>
    <w:rsid w:val="00D8171F"/>
    <w:rsid w:val="00DC5BCE"/>
    <w:rsid w:val="00EC16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F85792"/>
  <w14:defaultImageDpi w14:val="300"/>
  <w15:docId w15:val="{70C3DDC4-3366-4E3D-BB53-C18DEE8F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36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Ward</cp:lastModifiedBy>
  <cp:revision>4</cp:revision>
  <dcterms:created xsi:type="dcterms:W3CDTF">2026-04-22T18:43:00Z</dcterms:created>
  <dcterms:modified xsi:type="dcterms:W3CDTF">2026-07-29T18:59:00Z</dcterms:modified>
  <cp:category/>
</cp:coreProperties>
</file>