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Century Gothic" w:cs="Century Gothic" w:eastAsia="Century Gothic" w:hAnsi="Century Gothic"/>
          <w:b w:val="1"/>
          <w:bCs w:val="1"/>
          <w:sz w:val="32"/>
          <w:szCs w:val="32"/>
        </w:rPr>
      </w:pPr>
      <w:r w:rsidDel="00000000" w:rsidR="00000000" w:rsidRPr="00000000">
        <w:rPr>
          <w:rFonts w:ascii="Century Gothic" w:cs="Century Gothic" w:eastAsia="Century Gothic" w:hAnsi="Century Gothic"/>
          <w:b w:val="1"/>
          <w:bCs w:val="1"/>
          <w:sz w:val="32"/>
          <w:szCs w:val="32"/>
          <w:rtl w:val="0"/>
        </w:rPr>
        <w:t xml:space="preserve">English 1: First-Semester Syllabus</w:t>
      </w:r>
    </w:p>
    <w:p w:rsidR="00000000" w:rsidDel="00000000" w:rsidP="00000000" w:rsidRDefault="00000000" w:rsidRPr="00000000" w14:paraId="00000002">
      <w:pPr>
        <w:pStyle w:val="Heading2"/>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sz w:val="28"/>
          <w:szCs w:val="28"/>
          <w:rtl w:val="0"/>
        </w:rPr>
        <w:t xml:space="preserve">Mr. Starnes/Mrs. Wilson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Grade Level:</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9</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Semester Length:</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18 weeks</w:t>
      </w:r>
    </w:p>
    <w:p w:rsidR="00000000" w:rsidDel="00000000" w:rsidP="00000000" w:rsidRDefault="00000000" w:rsidRPr="00000000" w14:paraId="00000005">
      <w:pPr>
        <w:pStyle w:val="Heading2"/>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28"/>
          <w:szCs w:val="28"/>
          <w:rtl w:val="0"/>
        </w:rPr>
        <w:t xml:space="preserve">Course Description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English 1 develops students’ skills in reading, writing, speaking, listening, and critical thinking through literary and informational texts. Students will analyze texts, support ideas with evidence, and compose clear narrative, informative, and argumentative writing.</w:t>
      </w:r>
    </w:p>
    <w:p w:rsidR="00000000" w:rsidDel="00000000" w:rsidP="00000000" w:rsidRDefault="00000000" w:rsidRPr="00000000" w14:paraId="00000007">
      <w:pPr>
        <w:pStyle w:val="Heading2"/>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28"/>
          <w:szCs w:val="28"/>
          <w:rtl w:val="0"/>
        </w:rPr>
        <w:t xml:space="preserve">Course Objectives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By the end of the semester, students will be able to:</w:t>
      </w:r>
    </w:p>
    <w:p w:rsidR="00000000" w:rsidDel="00000000" w:rsidP="00000000" w:rsidRDefault="00000000" w:rsidRPr="00000000" w14:paraId="00000009">
      <w:pPr>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Analyze literary and informational texts using relevant textual evidence.</w:t>
      </w:r>
    </w:p>
    <w:p w:rsidR="00000000" w:rsidDel="00000000" w:rsidP="00000000" w:rsidRDefault="00000000" w:rsidRPr="00000000" w14:paraId="0000000A">
      <w:pPr>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Write organized, clear compositions for specific purposes and audiences.</w:t>
      </w:r>
    </w:p>
    <w:p w:rsidR="00000000" w:rsidDel="00000000" w:rsidP="00000000" w:rsidRDefault="00000000" w:rsidRPr="00000000" w14:paraId="0000000B">
      <w:pPr>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Apply appropriate grammar, usage, punctuation, and revision strategies.</w:t>
      </w:r>
    </w:p>
    <w:p w:rsidR="00000000" w:rsidDel="00000000" w:rsidP="00000000" w:rsidRDefault="00000000" w:rsidRPr="00000000" w14:paraId="0000000C">
      <w:pPr>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Participate effectively in discussions, presentations, and collaborative activities.</w:t>
      </w:r>
    </w:p>
    <w:p w:rsidR="00000000" w:rsidDel="00000000" w:rsidP="00000000" w:rsidRDefault="00000000" w:rsidRPr="00000000" w14:paraId="0000000D">
      <w:pPr>
        <w:pStyle w:val="Heading2"/>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28"/>
          <w:szCs w:val="28"/>
          <w:rtl w:val="0"/>
        </w:rPr>
        <w:t xml:space="preserve">Grading Policy</w:t>
      </w:r>
    </w:p>
    <w:tbl>
      <w:tblPr>
        <w:tblStyle w:val="Table1"/>
        <w:tblW w:w="7919.0" w:type="dxa"/>
        <w:jc w:val="left"/>
        <w:tblInd w:w="-10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20"/>
      </w:tblPr>
      <w:tblGrid>
        <w:gridCol w:w="5109"/>
        <w:gridCol w:w="2810"/>
        <w:tblGridChange w:id="0">
          <w:tblGrid>
            <w:gridCol w:w="5109"/>
            <w:gridCol w:w="2810"/>
          </w:tblGrid>
        </w:tblGridChange>
      </w:tblGrid>
      <w:tr>
        <w:trPr>
          <w:cantSplit w:val="0"/>
          <w:tblHeader w:val="1"/>
        </w:trPr>
        <w:tc>
          <w:tcPr>
            <w:tcBorders>
              <w:bottom w:color="bfbfbf" w:space="0" w:sz="12" w:val="single"/>
            </w:tcBorders>
            <w:shd w:fill="cccccc"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Category</w:t>
            </w:r>
            <w:r w:rsidDel="00000000" w:rsidR="00000000" w:rsidRPr="00000000">
              <w:rPr>
                <w:rtl w:val="0"/>
              </w:rPr>
            </w:r>
          </w:p>
        </w:tc>
        <w:tc>
          <w:tcPr>
            <w:tcBorders>
              <w:bottom w:color="bfbfbf" w:space="0" w:sz="12" w:val="single"/>
            </w:tcBorders>
            <w:shd w:fill="cccccc" w:val="cle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Weight</w:t>
            </w:r>
            <w:r w:rsidDel="00000000" w:rsidR="00000000" w:rsidRPr="00000000">
              <w:rPr>
                <w:rtl w:val="0"/>
              </w:rPr>
            </w:r>
          </w:p>
        </w:tc>
      </w:tr>
      <w:tr>
        <w:trPr>
          <w:cantSplit w:val="0"/>
          <w:tblHeader w:val="0"/>
        </w:trPr>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Major Assignments</w:t>
            </w:r>
            <w:r w:rsidDel="00000000" w:rsidR="00000000" w:rsidRPr="00000000">
              <w:rPr>
                <w:rtl w:val="0"/>
              </w:rPr>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40%</w:t>
            </w:r>
            <w:r w:rsidDel="00000000" w:rsidR="00000000" w:rsidRPr="00000000">
              <w:rPr>
                <w:rtl w:val="0"/>
              </w:rPr>
            </w:r>
          </w:p>
        </w:tc>
      </w:tr>
      <w:tr>
        <w:trPr>
          <w:cantSplit w:val="0"/>
          <w:tblHeader w:val="0"/>
        </w:trPr>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Minor Assignments</w:t>
            </w:r>
            <w:r w:rsidDel="00000000" w:rsidR="00000000" w:rsidRPr="00000000">
              <w:rPr>
                <w:rtl w:val="0"/>
              </w:rPr>
            </w:r>
          </w:p>
        </w:tc>
        <w:tc>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60%</w:t>
            </w:r>
            <w:r w:rsidDel="00000000" w:rsidR="00000000" w:rsidRPr="00000000">
              <w:rPr>
                <w:rtl w:val="0"/>
              </w:rPr>
            </w:r>
          </w:p>
        </w:tc>
      </w:tr>
      <w:tr>
        <w:trPr>
          <w:cantSplit w:val="0"/>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Total</w:t>
            </w: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100%</w:t>
            </w:r>
            <w:r w:rsidDel="00000000" w:rsidR="00000000" w:rsidRPr="00000000">
              <w:rPr>
                <w:rtl w:val="0"/>
              </w:rPr>
            </w:r>
          </w:p>
        </w:tc>
      </w:tr>
    </w:tbl>
    <w:p w:rsidR="00000000" w:rsidDel="00000000" w:rsidP="00000000" w:rsidRDefault="00000000" w:rsidRPr="00000000" w14:paraId="00000016">
      <w:pPr>
        <w:pStyle w:val="Heading3"/>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Grading Scale</w:t>
      </w:r>
    </w:p>
    <w:tbl>
      <w:tblPr>
        <w:tblStyle w:val="Table2"/>
        <w:tblW w:w="7922.0" w:type="dxa"/>
        <w:jc w:val="left"/>
        <w:tblInd w:w="-10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20"/>
      </w:tblPr>
      <w:tblGrid>
        <w:gridCol w:w="4244"/>
        <w:gridCol w:w="3678"/>
        <w:tblGridChange w:id="0">
          <w:tblGrid>
            <w:gridCol w:w="4244"/>
            <w:gridCol w:w="3678"/>
          </w:tblGrid>
        </w:tblGridChange>
      </w:tblGrid>
      <w:tr>
        <w:trPr>
          <w:cantSplit w:val="0"/>
          <w:tblHeader w:val="1"/>
        </w:trPr>
        <w:tc>
          <w:tcPr>
            <w:tcBorders>
              <w:bottom w:color="bfbfbf" w:space="0" w:sz="12" w:val="single"/>
            </w:tcBorders>
            <w:shd w:fill="d9d9d9"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Letter Grade</w:t>
            </w:r>
            <w:r w:rsidDel="00000000" w:rsidR="00000000" w:rsidRPr="00000000">
              <w:rPr>
                <w:rtl w:val="0"/>
              </w:rPr>
            </w:r>
          </w:p>
        </w:tc>
        <w:tc>
          <w:tcPr>
            <w:tcBorders>
              <w:bottom w:color="bfbfbf" w:space="0" w:sz="12" w:val="single"/>
            </w:tcBorders>
            <w:shd w:fill="d9d9d9" w:val="clea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Percentage</w:t>
            </w:r>
            <w:r w:rsidDel="00000000" w:rsidR="00000000" w:rsidRPr="00000000">
              <w:rPr>
                <w:rtl w:val="0"/>
              </w:rPr>
            </w:r>
          </w:p>
        </w:tc>
      </w:tr>
      <w:tr>
        <w:trPr>
          <w:cantSplit w:val="0"/>
          <w:tblHeader w:val="0"/>
        </w:trPr>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90–100%</w:t>
            </w:r>
            <w:r w:rsidDel="00000000" w:rsidR="00000000" w:rsidRPr="00000000">
              <w:rPr>
                <w:rtl w:val="0"/>
              </w:rPr>
            </w:r>
          </w:p>
        </w:tc>
      </w:tr>
      <w:tr>
        <w:trPr>
          <w:cantSplit w:val="0"/>
          <w:tblHeader w:val="0"/>
        </w:trPr>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B</w:t>
            </w:r>
            <w:r w:rsidDel="00000000" w:rsidR="00000000" w:rsidRPr="00000000">
              <w:rPr>
                <w:rtl w:val="0"/>
              </w:rPr>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80–89%</w:t>
            </w:r>
            <w:r w:rsidDel="00000000" w:rsidR="00000000" w:rsidRPr="00000000">
              <w:rPr>
                <w:rtl w:val="0"/>
              </w:rPr>
            </w:r>
          </w:p>
        </w:tc>
      </w:tr>
      <w:tr>
        <w:trPr>
          <w:cantSplit w:val="0"/>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C</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70–79%</w:t>
            </w:r>
            <w:r w:rsidDel="00000000" w:rsidR="00000000" w:rsidRPr="00000000">
              <w:rPr>
                <w:rtl w:val="0"/>
              </w:rPr>
            </w:r>
          </w:p>
        </w:tc>
      </w:tr>
      <w:tr>
        <w:trPr>
          <w:cantSplit w:val="0"/>
          <w:tblHeader w:val="0"/>
        </w:trPr>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D</w:t>
            </w: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60–69%</w:t>
            </w:r>
            <w:r w:rsidDel="00000000" w:rsidR="00000000" w:rsidRPr="00000000">
              <w:rPr>
                <w:rtl w:val="0"/>
              </w:rPr>
            </w:r>
          </w:p>
        </w:tc>
      </w:tr>
      <w:tr>
        <w:trPr>
          <w:cantSplit w:val="0"/>
          <w:tblHeader w:val="0"/>
        </w:trPr>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F</w:t>
            </w: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Below 60%</w:t>
            </w: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Grades reflect demonstrated learning, completion, quality of work, revision, and participation.</w:t>
      </w:r>
    </w:p>
    <w:p w:rsidR="00000000" w:rsidDel="00000000" w:rsidP="00000000" w:rsidRDefault="00000000" w:rsidRPr="00000000" w14:paraId="00000024">
      <w:pPr>
        <w:pStyle w:val="Heading2"/>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28"/>
          <w:szCs w:val="28"/>
          <w:rtl w:val="0"/>
        </w:rPr>
        <w:t xml:space="preserve">Course Outline by Unit</w:t>
      </w:r>
    </w:p>
    <w:p w:rsidR="00000000" w:rsidDel="00000000" w:rsidP="00000000" w:rsidRDefault="00000000" w:rsidRPr="00000000" w14:paraId="00000025">
      <w:pPr>
        <w:pStyle w:val="Heading3"/>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 1: Foundations of Reading and Writing for Young Scholars</w:t>
      </w:r>
    </w:p>
    <w:p w:rsidR="00000000" w:rsidDel="00000000" w:rsidP="00000000" w:rsidRDefault="00000000" w:rsidRPr="00000000" w14:paraId="00000026">
      <w:pPr>
        <w:numPr>
          <w:ilvl w:val="0"/>
          <w:numId w:val="2"/>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build foundational reading, writing, grammar, discussion, and study skills.</w:t>
      </w:r>
    </w:p>
    <w:p w:rsidR="00000000" w:rsidDel="00000000" w:rsidP="00000000" w:rsidRDefault="00000000" w:rsidRPr="00000000" w14:paraId="00000027">
      <w:pPr>
        <w:numPr>
          <w:ilvl w:val="0"/>
          <w:numId w:val="2"/>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Focus: introduction to literary analysis and composition basics, including close reading, textual evidence, organization, and revision.</w:t>
      </w:r>
    </w:p>
    <w:p w:rsidR="00000000" w:rsidDel="00000000" w:rsidP="00000000" w:rsidRDefault="00000000" w:rsidRPr="00000000" w14:paraId="00000028">
      <w:pPr>
        <w:numPr>
          <w:ilvl w:val="0"/>
          <w:numId w:val="2"/>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will be reviewing and strengthening essential ELA skills while preparing students for more complex reading, writing, and literary analysis.</w:t>
      </w:r>
    </w:p>
    <w:p w:rsidR="00000000" w:rsidDel="00000000" w:rsidP="00000000" w:rsidRDefault="00000000" w:rsidRPr="00000000" w14:paraId="00000029">
      <w:pPr>
        <w:pStyle w:val="Heading3"/>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 2: Literary Texts: Analysis and Composition</w:t>
      </w:r>
    </w:p>
    <w:p w:rsidR="00000000" w:rsidDel="00000000" w:rsidP="00000000" w:rsidRDefault="00000000" w:rsidRPr="00000000" w14:paraId="0000002A">
      <w:pPr>
        <w:numPr>
          <w:ilvl w:val="0"/>
          <w:numId w:val="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read and analyze </w:t>
      </w:r>
      <w:r w:rsidDel="00000000" w:rsidR="00000000" w:rsidRPr="00000000">
        <w:rPr>
          <w:rFonts w:ascii="Century Gothic" w:cs="Century Gothic" w:eastAsia="Century Gothic" w:hAnsi="Century Gothic"/>
          <w:i w:val="1"/>
          <w:iCs w:val="1"/>
          <w:rtl w:val="0"/>
        </w:rPr>
        <w:t xml:space="preserve">Fahrenheit 451</w:t>
      </w:r>
      <w:r w:rsidDel="00000000" w:rsidR="00000000" w:rsidRPr="00000000">
        <w:rPr>
          <w:rFonts w:ascii="Century Gothic" w:cs="Century Gothic" w:eastAsia="Century Gothic" w:hAnsi="Century Gothic"/>
          <w:rtl w:val="0"/>
        </w:rPr>
        <w:t xml:space="preserve">, examining characterization, conflict, theme, setting, symbolism, and author’s purpose.</w:t>
      </w:r>
    </w:p>
    <w:p w:rsidR="00000000" w:rsidDel="00000000" w:rsidP="00000000" w:rsidRDefault="00000000" w:rsidRPr="00000000" w14:paraId="0000002B">
      <w:pPr>
        <w:numPr>
          <w:ilvl w:val="0"/>
          <w:numId w:val="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Focus: developing interpretations and supporting claims with well-chosen textual evidence.</w:t>
      </w:r>
    </w:p>
    <w:p w:rsidR="00000000" w:rsidDel="00000000" w:rsidP="00000000" w:rsidRDefault="00000000" w:rsidRPr="00000000" w14:paraId="0000002C">
      <w:pPr>
        <w:numPr>
          <w:ilvl w:val="0"/>
          <w:numId w:val="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Major assignment: argumentative essay based on </w:t>
      </w:r>
      <w:r w:rsidDel="00000000" w:rsidR="00000000" w:rsidRPr="00000000">
        <w:rPr>
          <w:rFonts w:ascii="Century Gothic" w:cs="Century Gothic" w:eastAsia="Century Gothic" w:hAnsi="Century Gothic"/>
          <w:i w:val="1"/>
          <w:iCs w:val="1"/>
          <w:rtl w:val="0"/>
        </w:rPr>
        <w:t xml:space="preserve">Fahrenheit 451</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2D">
      <w:pPr>
        <w:pStyle w:val="Heading3"/>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 3: Informative Texts: Analysis and Composition</w:t>
      </w:r>
    </w:p>
    <w:p w:rsidR="00000000" w:rsidDel="00000000" w:rsidP="00000000" w:rsidRDefault="00000000" w:rsidRPr="00000000" w14:paraId="0000002E">
      <w:pPr>
        <w:numPr>
          <w:ilvl w:val="0"/>
          <w:numId w:val="4"/>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read informational texts, evaluate ideas and perspectives, and practice summarizing, paraphrasing, and comparing sources.</w:t>
      </w:r>
    </w:p>
    <w:p w:rsidR="00000000" w:rsidDel="00000000" w:rsidP="00000000" w:rsidRDefault="00000000" w:rsidRPr="00000000" w14:paraId="0000002F">
      <w:pPr>
        <w:numPr>
          <w:ilvl w:val="0"/>
          <w:numId w:val="4"/>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Focus: informational reading and writing, organization, evidence, clarity, and formal style.</w:t>
      </w:r>
    </w:p>
    <w:p w:rsidR="00000000" w:rsidDel="00000000" w:rsidP="00000000" w:rsidRDefault="00000000" w:rsidRPr="00000000" w14:paraId="00000030">
      <w:pPr>
        <w:numPr>
          <w:ilvl w:val="0"/>
          <w:numId w:val="4"/>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Major assignment: continuation and application of argumentative writing skills.</w:t>
      </w:r>
    </w:p>
    <w:p w:rsidR="00000000" w:rsidDel="00000000" w:rsidP="00000000" w:rsidRDefault="00000000" w:rsidRPr="00000000" w14:paraId="00000031">
      <w:pPr>
        <w:pStyle w:val="Heading2"/>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28"/>
          <w:szCs w:val="28"/>
          <w:rtl w:val="0"/>
        </w:rPr>
        <w:t xml:space="preserve">Classroom Expectations and Policies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Students are expected to behave respectfully, arrive prepared, participate responsibly, and care for classroom materials. Regular attendance is important; absent students should check assigned work and communicate with the teacher about missed learning. Late work will follow school and district procedures. Students must submit original work, credit sources, and use technology or outside assistance only as permitted by the teacher. Academic integrity concerns will be handled according to school and district policy.</w:t>
      </w:r>
    </w:p>
    <w:p w:rsidR="00000000" w:rsidDel="00000000" w:rsidP="00000000" w:rsidRDefault="00000000" w:rsidRPr="00000000" w14:paraId="00000033">
      <w:pPr>
        <w:pStyle w:val="Heading2"/>
        <w:rPr>
          <w:rFonts w:ascii="Century Gothic" w:cs="Century Gothic" w:eastAsia="Century Gothic" w:hAnsi="Century Gothic"/>
          <w:b w:val="1"/>
          <w:bCs w:val="1"/>
          <w:sz w:val="28"/>
          <w:szCs w:val="28"/>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28"/>
          <w:szCs w:val="28"/>
          <w:rtl w:val="0"/>
        </w:rPr>
        <w:t xml:space="preserve">Contact Information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Teacher Name:</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Aaron Starnes and Rebekah Wilson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Course:</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English 1</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School:</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Lake Dallas High School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Email:</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w:t>
      </w:r>
      <w:hyperlink r:id="rId6">
        <w:r w:rsidDel="00000000" w:rsidR="00000000" w:rsidRPr="00000000">
          <w:rPr>
            <w:rFonts w:ascii="Century Gothic" w:cs="Century Gothic" w:eastAsia="Century Gothic" w:hAnsi="Century Gothic"/>
            <w:i w:val="0"/>
            <w:iCs w:val="0"/>
            <w:smallCaps w:val="0"/>
            <w:strike w:val="0"/>
            <w:color w:val="156082"/>
            <w:sz w:val="24"/>
            <w:szCs w:val="24"/>
            <w:u w:val="none"/>
            <w:shd w:fill="auto" w:val="clear"/>
            <w:vertAlign w:val="baseline"/>
            <w:rtl w:val="0"/>
          </w:rPr>
          <w:t xml:space="preserve">astarnes@ldisd.net</w:t>
        </w:r>
      </w:hyperlink>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w:t>
        <w:tab/>
      </w:r>
      <w:hyperlink r:id="rId7">
        <w:r w:rsidDel="00000000" w:rsidR="00000000" w:rsidRPr="00000000">
          <w:rPr>
            <w:rFonts w:ascii="Century Gothic" w:cs="Century Gothic" w:eastAsia="Century Gothic" w:hAnsi="Century Gothic"/>
            <w:i w:val="0"/>
            <w:iCs w:val="0"/>
            <w:smallCaps w:val="0"/>
            <w:strike w:val="0"/>
            <w:color w:val="156082"/>
            <w:sz w:val="24"/>
            <w:szCs w:val="24"/>
            <w:u w:val="none"/>
            <w:shd w:fill="auto" w:val="clear"/>
            <w:vertAlign w:val="baseline"/>
            <w:rtl w:val="0"/>
          </w:rPr>
          <w:t xml:space="preserve">rwilson@ldisd.net</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Phone or Extension:</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(940) 497-4031</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Preferred Contact Method:</w:t>
      </w:r>
      <w:r w:rsidDel="00000000" w:rsidR="00000000" w:rsidRPr="00000000">
        <w:rPr>
          <w:rFonts w:ascii="Century Gothic" w:cs="Century Gothic" w:eastAsia="Century Gothic" w:hAnsi="Century Gothic"/>
          <w:i w:val="0"/>
          <w:iCs w:val="0"/>
          <w:smallCaps w:val="0"/>
          <w:strike w:val="0"/>
          <w:color w:val="000000"/>
          <w:sz w:val="24"/>
          <w:szCs w:val="24"/>
          <w:u w:val="none"/>
          <w:shd w:fill="auto" w:val="clear"/>
          <w:vertAlign w:val="baseline"/>
          <w:rtl w:val="0"/>
        </w:rPr>
        <w:t xml:space="preserve"> ParentSquare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entury Gothic" w:cs="Century Gothic" w:eastAsia="Century Gothic" w:hAnsi="Century Gothic"/>
          <w:i w:val="0"/>
          <w:iCs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720" w:top="720" w:left="1080" w:right="108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Trebuchet MS" w:cs="Trebuchet MS" w:eastAsia="Trebuchet MS" w:hAnsi="Trebuchet MS"/>
      <w:color w:val="24242c"/>
      <w:sz w:val="40"/>
      <w:szCs w:val="40"/>
    </w:rPr>
  </w:style>
  <w:style w:type="paragraph" w:styleId="Heading2">
    <w:name w:val="heading 2"/>
    <w:basedOn w:val="Normal"/>
    <w:next w:val="Normal"/>
    <w:pPr>
      <w:keepNext w:val="1"/>
      <w:keepLines w:val="1"/>
      <w:spacing w:after="80" w:before="160" w:lineRule="auto"/>
    </w:pPr>
    <w:rPr>
      <w:rFonts w:ascii="Trebuchet MS" w:cs="Trebuchet MS" w:eastAsia="Trebuchet MS" w:hAnsi="Trebuchet MS"/>
      <w:color w:val="24242c"/>
      <w:sz w:val="32"/>
      <w:szCs w:val="32"/>
    </w:rPr>
  </w:style>
  <w:style w:type="paragraph" w:styleId="Heading3">
    <w:name w:val="heading 3"/>
    <w:basedOn w:val="Normal"/>
    <w:next w:val="Normal"/>
    <w:pPr>
      <w:keepNext w:val="1"/>
      <w:keepLines w:val="1"/>
      <w:spacing w:after="80" w:before="160" w:lineRule="auto"/>
    </w:pPr>
    <w:rPr>
      <w:rFonts w:ascii="Trebuchet MS" w:cs="Trebuchet MS" w:eastAsia="Trebuchet MS" w:hAnsi="Trebuchet MS"/>
      <w:color w:val="24242c"/>
      <w:sz w:val="28"/>
      <w:szCs w:val="28"/>
    </w:rPr>
  </w:style>
  <w:style w:type="paragraph" w:styleId="Heading4">
    <w:name w:val="heading 4"/>
    <w:basedOn w:val="Normal"/>
    <w:next w:val="Normal"/>
    <w:pPr>
      <w:keepNext w:val="1"/>
      <w:keepLines w:val="1"/>
      <w:spacing w:after="40" w:before="80" w:lineRule="auto"/>
    </w:pPr>
    <w:rPr>
      <w:rFonts w:ascii="Trebuchet MS" w:cs="Trebuchet MS" w:eastAsia="Trebuchet MS" w:hAnsi="Trebuchet MS"/>
      <w:i w:val="1"/>
      <w:iCs w:val="1"/>
      <w:color w:val="24242c"/>
    </w:rPr>
  </w:style>
  <w:style w:type="paragraph" w:styleId="Heading5">
    <w:name w:val="heading 5"/>
    <w:basedOn w:val="Normal"/>
    <w:next w:val="Normal"/>
    <w:pPr>
      <w:keepNext w:val="1"/>
      <w:keepLines w:val="1"/>
      <w:spacing w:after="40" w:before="80" w:lineRule="auto"/>
    </w:pPr>
    <w:rPr>
      <w:rFonts w:ascii="Trebuchet MS" w:cs="Trebuchet MS" w:eastAsia="Trebuchet MS" w:hAnsi="Trebuchet MS"/>
      <w:color w:val="24242c"/>
    </w:rPr>
  </w:style>
  <w:style w:type="paragraph" w:styleId="Heading6">
    <w:name w:val="heading 6"/>
    <w:basedOn w:val="Normal"/>
    <w:next w:val="Normal"/>
    <w:pPr>
      <w:keepNext w:val="1"/>
      <w:keepLines w:val="1"/>
      <w:spacing w:after="0" w:before="40" w:lineRule="auto"/>
    </w:pPr>
    <w:rPr>
      <w:rFonts w:ascii="Trebuchet MS" w:cs="Trebuchet MS" w:eastAsia="Trebuchet MS" w:hAnsi="Trebuchet MS"/>
      <w:i w:val="1"/>
      <w:iCs w:val="1"/>
      <w:color w:val="24242c"/>
    </w:rPr>
  </w:style>
  <w:style w:type="paragraph" w:styleId="Title">
    <w:name w:val="Title"/>
    <w:basedOn w:val="Normal"/>
    <w:next w:val="Normal"/>
    <w:pPr>
      <w:spacing w:after="80" w:line="240" w:lineRule="auto"/>
      <w:jc w:val="center"/>
    </w:pPr>
    <w:rPr>
      <w:rFonts w:ascii="Trebuchet MS" w:cs="Trebuchet MS" w:eastAsia="Trebuchet MS" w:hAnsi="Trebuchet MS"/>
      <w:sz w:val="56"/>
      <w:szCs w:val="56"/>
    </w:rPr>
  </w:style>
  <w:style w:type="paragraph" w:styleId="Subtitle">
    <w:name w:val="Subtitle"/>
    <w:basedOn w:val="Normal"/>
    <w:next w:val="Normal"/>
    <w:pPr>
      <w:spacing w:after="80" w:line="240" w:lineRule="auto"/>
      <w:jc w:val="center"/>
    </w:pPr>
    <w:rPr>
      <w:rFonts w:ascii="Trebuchet MS" w:cs="Trebuchet MS" w:eastAsia="Trebuchet MS" w:hAnsi="Trebuchet MS"/>
      <w:sz w:val="28"/>
      <w:szCs w:val="28"/>
    </w:rPr>
  </w:style>
  <w:style w:type="table" w:styleId="Table1">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starnes@ldisd.net" TargetMode="External"/><Relationship Id="rId7" Type="http://schemas.openxmlformats.org/officeDocument/2006/relationships/hyperlink" Target="mailto:rwilson@ldisd.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