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tab/>
        <w:tab/>
        <w:tab/>
        <w:tab/>
        <w:tab/>
        <w:tab/>
        <w:tab/>
        <w:tab/>
        <w:tab/>
        <w:tab/>
        <w:t xml:space="preserve">      </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7200" w:firstLine="0"/>
        <w:rPr>
          <w:rFonts w:ascii="Times New Roman" w:cs="Times New Roman" w:eastAsia="Times New Roman" w:hAnsi="Times New Roman"/>
          <w:b w:val="1"/>
          <w:bCs w:val="1"/>
        </w:rPr>
      </w:pPr>
      <w:r w:rsidDel="00000000" w:rsidR="00000000" w:rsidRPr="00000000">
        <w:rPr>
          <w:rtl w:val="0"/>
        </w:rPr>
        <w:t xml:space="preserve">      </w:t>
        <w:tab/>
        <w:t xml:space="preserve">              </w:t>
      </w:r>
      <w:r w:rsidDel="00000000" w:rsidR="00000000" w:rsidRPr="00000000">
        <w:rPr>
          <w:rFonts w:ascii="Times New Roman" w:cs="Times New Roman" w:eastAsia="Times New Roman" w:hAnsi="Times New Roman"/>
          <w:b w:val="1"/>
          <w:bCs w:val="1"/>
          <w:rtl w:val="0"/>
        </w:rPr>
        <w:t xml:space="preserve">     July 7, 2026</w:t>
      </w:r>
      <w:r w:rsidDel="00000000" w:rsidR="00000000" w:rsidRPr="00000000">
        <w:rPr>
          <w:rtl w:val="0"/>
        </w:rPr>
      </w:r>
    </w:p>
    <w:p w:rsidR="00000000" w:rsidDel="00000000" w:rsidP="00000000" w:rsidRDefault="00000000" w:rsidRPr="00000000" w14:paraId="00000008">
      <w:pPr>
        <w:widowControl w:val="0"/>
        <w:spacing w:before="6.485595703125" w:line="240" w:lineRule="auto"/>
        <w:ind w:right="-90"/>
        <w:jc w:val="center"/>
        <w:rPr>
          <w:rFonts w:ascii="Georgia" w:cs="Georgia" w:eastAsia="Georgia" w:hAnsi="Georgia"/>
          <w:b w:val="1"/>
          <w:bCs w:val="1"/>
          <w:sz w:val="12"/>
          <w:szCs w:val="12"/>
        </w:rPr>
      </w:pPr>
      <w:r w:rsidDel="00000000" w:rsidR="00000000" w:rsidRPr="00000000">
        <w:rPr>
          <w:rtl w:val="0"/>
        </w:rPr>
      </w:r>
    </w:p>
    <w:p w:rsidR="00000000" w:rsidDel="00000000" w:rsidP="00000000" w:rsidRDefault="00000000" w:rsidRPr="00000000" w14:paraId="00000009">
      <w:pPr>
        <w:jc w:val="center"/>
        <w:rPr>
          <w:b w:val="1"/>
          <w:bCs w:val="1"/>
          <w:color w:val="0000ff"/>
          <w:sz w:val="28"/>
          <w:szCs w:val="28"/>
        </w:rPr>
      </w:pPr>
      <w:r w:rsidDel="00000000" w:rsidR="00000000" w:rsidRPr="00000000">
        <w:rPr>
          <w:rFonts w:ascii="Georgia" w:cs="Georgia" w:eastAsia="Georgia" w:hAnsi="Georgia"/>
          <w:b w:val="1"/>
          <w:bCs w:val="1"/>
          <w:sz w:val="28"/>
          <w:szCs w:val="28"/>
          <w:rtl w:val="0"/>
        </w:rPr>
        <w:t xml:space="preserve">CCPS Announces School Breakfast Program for 2026-27</w:t>
      </w:r>
      <w:r w:rsidDel="00000000" w:rsidR="00000000" w:rsidRPr="00000000">
        <w:rPr>
          <w:rtl w:val="0"/>
        </w:rPr>
      </w:r>
    </w:p>
    <w:p w:rsidR="00000000" w:rsidDel="00000000" w:rsidP="00000000" w:rsidRDefault="00000000" w:rsidRPr="00000000" w14:paraId="0000000A">
      <w:pPr>
        <w:widowControl w:val="0"/>
        <w:spacing w:before="6.485595703125" w:line="240" w:lineRule="auto"/>
        <w:ind w:right="-90"/>
        <w:jc w:val="center"/>
        <w:rPr>
          <w:b w:val="1"/>
          <w:bCs w:val="1"/>
        </w:rPr>
      </w:pP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JONESBORO - </w:t>
      </w:r>
      <w:r w:rsidDel="00000000" w:rsidR="00000000" w:rsidRPr="00000000">
        <w:rPr>
          <w:rFonts w:ascii="Times New Roman" w:cs="Times New Roman" w:eastAsia="Times New Roman" w:hAnsi="Times New Roman"/>
          <w:sz w:val="24"/>
          <w:szCs w:val="24"/>
          <w:rtl w:val="0"/>
        </w:rPr>
        <w:t xml:space="preserve">Clayton County Public Schools (CCPS) is pleased to announce that nutritious school breakfast meals are available to all students through the School National Breakfast Program. As a participant in the Community Eligibility Provision (CEP), Clayton County Public Schools provides breakfast at no cost to every enrolled student, regardless of household income.</w:t>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consistently shows that students who eat breakfast are more likely to arrive at school ready to learn, demonstrate improved concentration and memory, exhibit better classroom behavior, and perform better academically. School breakfast provides students with the energy and nutrients needed to fuel student achievement and support a positive start to each school day.</w:t>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CCPS school breakfasts are planned to meet USDA nutrition standards and include a variety of wholesome foods such as:</w:t>
      </w:r>
    </w:p>
    <w:p w:rsidR="00000000" w:rsidDel="00000000" w:rsidP="00000000" w:rsidRDefault="00000000" w:rsidRPr="00000000" w14:paraId="00000010">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Whole grain-rich breads, cereals, and breakfast items</w:t>
      </w:r>
    </w:p>
    <w:p w:rsidR="00000000" w:rsidDel="00000000" w:rsidP="00000000" w:rsidRDefault="00000000" w:rsidRPr="00000000" w14:paraId="00000011">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Fresh, canned, and dried fruits</w:t>
      </w:r>
    </w:p>
    <w:p w:rsidR="00000000" w:rsidDel="00000000" w:rsidP="00000000" w:rsidRDefault="00000000" w:rsidRPr="00000000" w14:paraId="00000012">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Low-fat and fat-free milk options</w:t>
      </w:r>
    </w:p>
    <w:p w:rsidR="00000000" w:rsidDel="00000000" w:rsidP="00000000" w:rsidRDefault="00000000" w:rsidRPr="00000000" w14:paraId="00000013">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Lean proteins and other nutrient-rich foods</w:t>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balanced meals provide essential nutrients that support healthy growth, development, and academic success.</w:t>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Breakfast service times vary by school and grade level. Parents and guardians are encouraged to contact their child”s school for specific breakfast serving times. Current breakfast menus are available on the Nutrition Department page of the Clayton County Public Schools website.</w:t>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Clayton County Public Schools is committed to ensuring that every student has access to a healthy breakfast each school day. By providing nutritious meals at no cost to students, CCPS helps remove barriers to learning and supports the well-being and success of all students.</w:t>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additional information about the National School Breakfast Program, breakfast service schedules, or school menus, please visit the Nutrition Department page on the Clayton County Public Schools website or contact the Nutrition Services Department.</w:t>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USDA Nondiscrimination Statement</w: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w:t>
      </w:r>
      <w:r w:rsidDel="00000000" w:rsidR="00000000" w:rsidRPr="00000000">
        <w:rPr>
          <w:rFonts w:ascii="Times New Roman" w:cs="Times New Roman" w:eastAsia="Times New Roman" w:hAnsi="Times New Roman"/>
          <w:b w:val="1"/>
          <w:bCs w:val="1"/>
          <w:sz w:val="24"/>
          <w:szCs w:val="24"/>
          <w:rtl w:val="0"/>
        </w:rPr>
        <w:t xml:space="preserve">(1) mail:</w:t>
      </w:r>
      <w:r w:rsidDel="00000000" w:rsidR="00000000" w:rsidRPr="00000000">
        <w:rPr>
          <w:rFonts w:ascii="Times New Roman" w:cs="Times New Roman" w:eastAsia="Times New Roman" w:hAnsi="Times New Roman"/>
          <w:sz w:val="24"/>
          <w:szCs w:val="24"/>
          <w:rtl w:val="0"/>
        </w:rPr>
        <w:t xml:space="preserve"> U.S. Department of Agriculture, Office of the Assistant Secretary for Civil Rights, 1400 Independence Avenue, SW, Mail Stop 9410, Washington, D.C. 20250-9410; </w:t>
      </w:r>
      <w:r w:rsidDel="00000000" w:rsidR="00000000" w:rsidRPr="00000000">
        <w:rPr>
          <w:rFonts w:ascii="Times New Roman" w:cs="Times New Roman" w:eastAsia="Times New Roman" w:hAnsi="Times New Roman"/>
          <w:b w:val="1"/>
          <w:bCs w:val="1"/>
          <w:sz w:val="24"/>
          <w:szCs w:val="24"/>
          <w:rtl w:val="0"/>
        </w:rPr>
        <w:t xml:space="preserve">(2) fax:</w:t>
      </w:r>
      <w:r w:rsidDel="00000000" w:rsidR="00000000" w:rsidRPr="00000000">
        <w:rPr>
          <w:rFonts w:ascii="Times New Roman" w:cs="Times New Roman" w:eastAsia="Times New Roman" w:hAnsi="Times New Roman"/>
          <w:sz w:val="24"/>
          <w:szCs w:val="24"/>
          <w:rtl w:val="0"/>
        </w:rPr>
        <w:t xml:space="preserve"> (202) 690-7442; or</w:t>
      </w:r>
      <w:r w:rsidDel="00000000" w:rsidR="00000000" w:rsidRPr="00000000">
        <w:rPr>
          <w:rFonts w:ascii="Times New Roman" w:cs="Times New Roman" w:eastAsia="Times New Roman" w:hAnsi="Times New Roman"/>
          <w:b w:val="1"/>
          <w:bCs w:val="1"/>
          <w:sz w:val="24"/>
          <w:szCs w:val="24"/>
          <w:rtl w:val="0"/>
        </w:rPr>
        <w:t xml:space="preserve"> (3) email:</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program.intake@usda.gov</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USDA is an equal opportunity provider, employer, and lender.</w:t>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9">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C">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D">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E">
      <w:pPr>
        <w:ind w:left="0" w:firstLine="0"/>
        <w:jc w:val="center"/>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An official document from the Clayton County Public School System-</w:t>
      </w:r>
      <w:r w:rsidDel="00000000" w:rsidR="00000000" w:rsidRPr="00000000">
        <w:rPr>
          <w:rtl w:val="0"/>
        </w:rPr>
      </w:r>
    </w:p>
    <w:p w:rsidR="00000000" w:rsidDel="00000000" w:rsidP="00000000" w:rsidRDefault="00000000" w:rsidRPr="00000000" w14:paraId="0000002F">
      <w:pPr>
        <w:ind w:left="0" w:firstLine="0"/>
        <w:rPr>
          <w:sz w:val="20"/>
          <w:szCs w:val="20"/>
        </w:rPr>
      </w:pPr>
      <w:r w:rsidDel="00000000" w:rsidR="00000000" w:rsidRPr="00000000">
        <w:rPr>
          <w:rFonts w:ascii="Times New Roman" w:cs="Times New Roman" w:eastAsia="Times New Roman" w:hAnsi="Times New Roman"/>
          <w:b w:val="1"/>
          <w:bCs w:val="1"/>
          <w:sz w:val="20"/>
          <w:szCs w:val="20"/>
          <w:u w:val="single"/>
          <w:rtl w:val="0"/>
        </w:rPr>
        <w:t xml:space="preserve">About Clayton County Public Schools:</w:t>
      </w:r>
      <w:r w:rsidDel="00000000" w:rsidR="00000000" w:rsidRPr="00000000">
        <w:rPr>
          <w:rFonts w:ascii="Times New Roman" w:cs="Times New Roman" w:eastAsia="Times New Roman" w:hAnsi="Times New Roman"/>
          <w:sz w:val="20"/>
          <w:szCs w:val="20"/>
          <w:rtl w:val="0"/>
        </w:rPr>
        <w:t xml:space="preserve"> Clayton County Public Schools (CCPS) is fully accredited by Cognia. The district offers a focused world-class program based on a challenging curriculum which is taught from pre-kindergarten through 12th grade. Serving over 50,000 students, Clayton County Public Schools is ranked among the 100 largest school districts in the U.S. and is the sixth-largest school system in Georgia. </w:t>
      </w:r>
      <w:r w:rsidDel="00000000" w:rsidR="00000000" w:rsidRPr="00000000">
        <w:rPr>
          <w:sz w:val="20"/>
          <w:szCs w:val="20"/>
          <w:rtl w:val="0"/>
        </w:rPr>
        <w:t xml:space="preserve">###</w:t>
      </w:r>
    </w:p>
    <w:p w:rsidR="00000000" w:rsidDel="00000000" w:rsidP="00000000" w:rsidRDefault="00000000" w:rsidRPr="00000000" w14:paraId="00000030">
      <w:pPr>
        <w:ind w:left="0" w:firstLine="0"/>
        <w:rPr>
          <w:sz w:val="20"/>
          <w:szCs w:val="20"/>
        </w:rPr>
      </w:pPr>
      <w:r w:rsidDel="00000000" w:rsidR="00000000" w:rsidRPr="00000000">
        <w:rPr>
          <w:rtl w:val="0"/>
        </w:rPr>
      </w:r>
    </w:p>
    <w:p w:rsidR="00000000" w:rsidDel="00000000" w:rsidP="00000000" w:rsidRDefault="00000000" w:rsidRPr="00000000" w14:paraId="00000031">
      <w:pPr>
        <w:ind w:left="0" w:firstLine="0"/>
        <w:rPr>
          <w:sz w:val="20"/>
          <w:szCs w:val="20"/>
        </w:rPr>
      </w:pPr>
      <w:r w:rsidDel="00000000" w:rsidR="00000000" w:rsidRPr="00000000">
        <w:rPr>
          <w:rtl w:val="0"/>
        </w:rPr>
      </w:r>
    </w:p>
    <w:p w:rsidR="00000000" w:rsidDel="00000000" w:rsidP="00000000" w:rsidRDefault="00000000" w:rsidRPr="00000000" w14:paraId="00000032">
      <w:pPr>
        <w:ind w:left="0" w:firstLine="0"/>
        <w:rPr>
          <w:sz w:val="20"/>
          <w:szCs w:val="2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360" w:top="360" w:left="907.2" w:right="907.2"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drawing>
        <wp:anchor allowOverlap="1" behindDoc="1" distB="114300" distT="114300" distL="114300" distR="114300" hidden="0" layoutInCell="1" locked="0" relativeHeight="0" simplePos="0">
          <wp:simplePos x="0" y="0"/>
          <wp:positionH relativeFrom="margin">
            <wp:align>center</wp:align>
          </wp:positionH>
          <wp:positionV relativeFrom="margin">
            <wp:align>center</wp:align>
          </wp:positionV>
          <wp:extent cx="7772400" cy="10065258"/>
          <wp:effectExtent b="0" l="0" r="0" t="0"/>
          <wp:wrapNone/>
          <wp:docPr id="1" name="image2.png"/>
          <a:graphic>
            <a:graphicData uri="http://schemas.openxmlformats.org/drawingml/2006/picture">
              <pic:pic>
                <pic:nvPicPr>
                  <pic:cNvPr id="0" name="image2.png"/>
                  <pic:cNvPicPr preferRelativeResize="0"/>
                </pic:nvPicPr>
                <pic:blipFill>
                  <a:blip r:embed="rId1"/>
                  <a:srcRect b="0" l="19" r="19" t="0"/>
                  <a:stretch>
                    <a:fillRect/>
                  </a:stretch>
                </pic:blipFill>
                <pic:spPr>
                  <a:xfrm>
                    <a:off x="0" y="0"/>
                    <a:ext cx="7772400" cy="1006525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drawing>
        <wp:anchor allowOverlap="1" behindDoc="1" distB="114300" distT="114300" distL="114300" distR="114300" hidden="0" layoutInCell="1" locked="0" relativeHeight="0" simplePos="0">
          <wp:simplePos x="0" y="0"/>
          <wp:positionH relativeFrom="margin">
            <wp:align>center</wp:align>
          </wp:positionH>
          <wp:positionV relativeFrom="margin">
            <wp:align>center</wp:align>
          </wp:positionV>
          <wp:extent cx="7772400" cy="10065258"/>
          <wp:effectExtent b="0" l="0" r="0" t="0"/>
          <wp:wrapNone/>
          <wp:docPr id="2" name="image1.png"/>
          <a:graphic>
            <a:graphicData uri="http://schemas.openxmlformats.org/drawingml/2006/picture">
              <pic:pic>
                <pic:nvPicPr>
                  <pic:cNvPr id="0" name="image1.png"/>
                  <pic:cNvPicPr preferRelativeResize="0"/>
                </pic:nvPicPr>
                <pic:blipFill>
                  <a:blip r:embed="rId1"/>
                  <a:srcRect b="0" l="19" r="19" t="0"/>
                  <a:stretch>
                    <a:fillRect/>
                  </a:stretch>
                </pic:blipFill>
                <pic:spPr>
                  <a:xfrm>
                    <a:off x="0" y="0"/>
                    <a:ext cx="7772400" cy="1006525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program.intake@usda.gov" TargetMode="Externa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