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1592F" w14:textId="77777777" w:rsidR="000E3C16" w:rsidRDefault="000E3C16"/>
    <w:p w14:paraId="417F46C1" w14:textId="77777777" w:rsidR="000E3C16" w:rsidRDefault="000E3C16"/>
    <w:p w14:paraId="094FF894" w14:textId="77777777" w:rsidR="00377BE0" w:rsidRPr="00377BE0" w:rsidRDefault="00377BE0" w:rsidP="00377BE0">
      <w:pPr>
        <w:jc w:val="center"/>
        <w:rPr>
          <w:b/>
          <w:bCs/>
          <w:sz w:val="28"/>
          <w:szCs w:val="28"/>
          <w:lang w:val="en-US"/>
        </w:rPr>
      </w:pPr>
      <w:r w:rsidRPr="00377BE0">
        <w:rPr>
          <w:b/>
          <w:bCs/>
          <w:sz w:val="28"/>
          <w:szCs w:val="28"/>
          <w:lang w:val="en-US"/>
        </w:rPr>
        <w:t>Magnet Program Teacher Recruitment, Selection, and Retention Policy</w:t>
      </w:r>
    </w:p>
    <w:p w14:paraId="17B4C99E" w14:textId="77777777" w:rsidR="00377BE0" w:rsidRPr="00377BE0" w:rsidRDefault="00377BE0" w:rsidP="00377BE0">
      <w:pPr>
        <w:rPr>
          <w:b/>
          <w:bCs/>
          <w:lang w:val="en-US"/>
        </w:rPr>
      </w:pPr>
    </w:p>
    <w:p w14:paraId="5BFFF378" w14:textId="77777777" w:rsidR="00377BE0" w:rsidRDefault="00377BE0" w:rsidP="00377BE0">
      <w:pPr>
        <w:rPr>
          <w:lang w:val="en-US"/>
        </w:rPr>
      </w:pPr>
      <w:r w:rsidRPr="00377BE0">
        <w:rPr>
          <w:lang w:val="en-US"/>
        </w:rPr>
        <w:t>Meyerland Performing &amp; Visual Arts Middle School (MPVA) is committed to recruiting, selecting, developing, and retaining highly qualified educators who possess the knowledge, skills, and passion necessary to support the school's Performing and Visual Arts magnet theme. The campus recognizes that the success of the magnet program depends on educators who can provide rigorous instruction, foster creativity, and intentionally integrate the arts across the curriculum.</w:t>
      </w:r>
    </w:p>
    <w:p w14:paraId="69527BAD" w14:textId="77777777" w:rsidR="00377BE0" w:rsidRPr="00377BE0" w:rsidRDefault="00377BE0" w:rsidP="00377BE0">
      <w:pPr>
        <w:rPr>
          <w:lang w:val="en-US"/>
        </w:rPr>
      </w:pPr>
    </w:p>
    <w:p w14:paraId="052C3B28" w14:textId="77777777" w:rsidR="00377BE0" w:rsidRPr="00377BE0" w:rsidRDefault="00377BE0" w:rsidP="00377BE0">
      <w:pPr>
        <w:rPr>
          <w:b/>
          <w:bCs/>
          <w:lang w:val="en-US"/>
        </w:rPr>
      </w:pPr>
      <w:r w:rsidRPr="00377BE0">
        <w:rPr>
          <w:b/>
          <w:bCs/>
          <w:lang w:val="en-US"/>
        </w:rPr>
        <w:t>Recruitment</w:t>
      </w:r>
    </w:p>
    <w:p w14:paraId="0CE62AFA" w14:textId="77777777" w:rsidR="00377BE0" w:rsidRDefault="00377BE0" w:rsidP="00377BE0">
      <w:pPr>
        <w:rPr>
          <w:lang w:val="en-US"/>
        </w:rPr>
      </w:pPr>
      <w:r w:rsidRPr="00377BE0">
        <w:rPr>
          <w:lang w:val="en-US"/>
        </w:rPr>
        <w:t>MPVA actively recruits candidates who demonstrate expertise in their content area and a commitment to interdisciplinary learning, innovation, and arts integration. Recruitment efforts prioritize candidates with experience in fine arts, project-based learning, arts integration, performance-based instruction, creative problem-solving, and collaboration across disciplines. The campus partners with district recruitment initiatives, educator preparation programs, professional arts organizations, universities, and community arts partners to identify and attract exceptional candidates who can contribute to the magnet program.</w:t>
      </w:r>
    </w:p>
    <w:p w14:paraId="1712BD04" w14:textId="77777777" w:rsidR="00377BE0" w:rsidRPr="00377BE0" w:rsidRDefault="00377BE0" w:rsidP="00377BE0">
      <w:pPr>
        <w:rPr>
          <w:lang w:val="en-US"/>
        </w:rPr>
      </w:pPr>
    </w:p>
    <w:p w14:paraId="750B6A32" w14:textId="77777777" w:rsidR="00377BE0" w:rsidRPr="00377BE0" w:rsidRDefault="00377BE0" w:rsidP="00377BE0">
      <w:pPr>
        <w:rPr>
          <w:b/>
          <w:bCs/>
          <w:lang w:val="en-US"/>
        </w:rPr>
      </w:pPr>
      <w:r w:rsidRPr="00377BE0">
        <w:rPr>
          <w:b/>
          <w:bCs/>
          <w:lang w:val="en-US"/>
        </w:rPr>
        <w:t>Selection</w:t>
      </w:r>
    </w:p>
    <w:p w14:paraId="51F5F4E7" w14:textId="77777777" w:rsidR="00377BE0" w:rsidRPr="00377BE0" w:rsidRDefault="00377BE0" w:rsidP="00377BE0">
      <w:pPr>
        <w:rPr>
          <w:lang w:val="en-US"/>
        </w:rPr>
      </w:pPr>
      <w:r w:rsidRPr="00377BE0">
        <w:rPr>
          <w:lang w:val="en-US"/>
        </w:rPr>
        <w:t>Teacher selection processes are designed to ensure that candidates possess the instructional expertise and collaborative mindset necessary to support the magnet theme. Candidates may be evaluated on their ability to:</w:t>
      </w:r>
    </w:p>
    <w:p w14:paraId="63C11BC1" w14:textId="77777777" w:rsidR="00377BE0" w:rsidRPr="00377BE0" w:rsidRDefault="00377BE0" w:rsidP="00377BE0">
      <w:pPr>
        <w:numPr>
          <w:ilvl w:val="0"/>
          <w:numId w:val="1"/>
        </w:numPr>
        <w:rPr>
          <w:lang w:val="en-US"/>
        </w:rPr>
      </w:pPr>
      <w:r w:rsidRPr="00377BE0">
        <w:rPr>
          <w:lang w:val="en-US"/>
        </w:rPr>
        <w:t>Deliver high-quality, student-centered instruction.</w:t>
      </w:r>
    </w:p>
    <w:p w14:paraId="0252B327" w14:textId="77777777" w:rsidR="00377BE0" w:rsidRPr="00377BE0" w:rsidRDefault="00377BE0" w:rsidP="00377BE0">
      <w:pPr>
        <w:numPr>
          <w:ilvl w:val="0"/>
          <w:numId w:val="1"/>
        </w:numPr>
        <w:rPr>
          <w:lang w:val="en-US"/>
        </w:rPr>
      </w:pPr>
      <w:r w:rsidRPr="00377BE0">
        <w:rPr>
          <w:lang w:val="en-US"/>
        </w:rPr>
        <w:t>Integrate creative and artistic approaches into teaching and learning.</w:t>
      </w:r>
    </w:p>
    <w:p w14:paraId="39AF9232" w14:textId="77777777" w:rsidR="00377BE0" w:rsidRPr="00377BE0" w:rsidRDefault="00377BE0" w:rsidP="00377BE0">
      <w:pPr>
        <w:numPr>
          <w:ilvl w:val="0"/>
          <w:numId w:val="1"/>
        </w:numPr>
        <w:rPr>
          <w:lang w:val="en-US"/>
        </w:rPr>
      </w:pPr>
      <w:r w:rsidRPr="00377BE0">
        <w:rPr>
          <w:lang w:val="en-US"/>
        </w:rPr>
        <w:t>Collaborate effectively with Fine Arts and core academic departments.</w:t>
      </w:r>
    </w:p>
    <w:p w14:paraId="1F885665" w14:textId="77777777" w:rsidR="00377BE0" w:rsidRPr="00377BE0" w:rsidRDefault="00377BE0" w:rsidP="00377BE0">
      <w:pPr>
        <w:numPr>
          <w:ilvl w:val="0"/>
          <w:numId w:val="1"/>
        </w:numPr>
        <w:rPr>
          <w:lang w:val="en-US"/>
        </w:rPr>
      </w:pPr>
      <w:r w:rsidRPr="00377BE0">
        <w:rPr>
          <w:lang w:val="en-US"/>
        </w:rPr>
        <w:t>Support interdisciplinary learning experiences.</w:t>
      </w:r>
    </w:p>
    <w:p w14:paraId="4C671D15" w14:textId="77777777" w:rsidR="00377BE0" w:rsidRPr="00377BE0" w:rsidRDefault="00377BE0" w:rsidP="00377BE0">
      <w:pPr>
        <w:numPr>
          <w:ilvl w:val="0"/>
          <w:numId w:val="1"/>
        </w:numPr>
        <w:rPr>
          <w:lang w:val="en-US"/>
        </w:rPr>
      </w:pPr>
      <w:r w:rsidRPr="00377BE0">
        <w:rPr>
          <w:lang w:val="en-US"/>
        </w:rPr>
        <w:t>Foster student creativity, critical thinking, communication, and problem-solving.</w:t>
      </w:r>
    </w:p>
    <w:p w14:paraId="2AD397E8" w14:textId="77777777" w:rsidR="00377BE0" w:rsidRPr="00377BE0" w:rsidRDefault="00377BE0" w:rsidP="00377BE0">
      <w:pPr>
        <w:numPr>
          <w:ilvl w:val="0"/>
          <w:numId w:val="1"/>
        </w:numPr>
        <w:rPr>
          <w:lang w:val="en-US"/>
        </w:rPr>
      </w:pPr>
      <w:r w:rsidRPr="00377BE0">
        <w:rPr>
          <w:lang w:val="en-US"/>
        </w:rPr>
        <w:t>Contribute to the mission and vision of the Performing and Visual Arts magnet program.</w:t>
      </w:r>
    </w:p>
    <w:p w14:paraId="12775AA1" w14:textId="77777777" w:rsidR="00377BE0" w:rsidRDefault="00377BE0" w:rsidP="00377BE0">
      <w:pPr>
        <w:rPr>
          <w:lang w:val="en-US"/>
        </w:rPr>
      </w:pPr>
      <w:r w:rsidRPr="00377BE0">
        <w:rPr>
          <w:lang w:val="en-US"/>
        </w:rPr>
        <w:t>Interview processes may include demonstration lessons, portfolio reviews, performance-based tasks, collaborative planning activities, and interviews with campus administrators, department chairs, and magnet program representatives.</w:t>
      </w:r>
    </w:p>
    <w:p w14:paraId="5ED459E6" w14:textId="77777777" w:rsidR="00377BE0" w:rsidRDefault="00377BE0" w:rsidP="00377BE0">
      <w:pPr>
        <w:rPr>
          <w:lang w:val="en-US"/>
        </w:rPr>
      </w:pPr>
    </w:p>
    <w:p w14:paraId="247ECE52" w14:textId="77777777" w:rsidR="00377BE0" w:rsidRDefault="00377BE0" w:rsidP="00377BE0">
      <w:pPr>
        <w:rPr>
          <w:lang w:val="en-US"/>
        </w:rPr>
      </w:pPr>
    </w:p>
    <w:p w14:paraId="224FF301" w14:textId="77777777" w:rsidR="00377BE0" w:rsidRDefault="00377BE0" w:rsidP="00377BE0">
      <w:pPr>
        <w:rPr>
          <w:lang w:val="en-US"/>
        </w:rPr>
      </w:pPr>
    </w:p>
    <w:p w14:paraId="1D8DAF02" w14:textId="77777777" w:rsidR="00377BE0" w:rsidRDefault="00377BE0" w:rsidP="00377BE0">
      <w:pPr>
        <w:rPr>
          <w:lang w:val="en-US"/>
        </w:rPr>
      </w:pPr>
    </w:p>
    <w:p w14:paraId="409491A5" w14:textId="77777777" w:rsidR="00377BE0" w:rsidRDefault="00377BE0" w:rsidP="00377BE0">
      <w:pPr>
        <w:rPr>
          <w:lang w:val="en-US"/>
        </w:rPr>
      </w:pPr>
    </w:p>
    <w:p w14:paraId="1B98A9E3" w14:textId="77777777" w:rsidR="00377BE0" w:rsidRPr="00377BE0" w:rsidRDefault="00377BE0" w:rsidP="00377BE0">
      <w:pPr>
        <w:rPr>
          <w:lang w:val="en-US"/>
        </w:rPr>
      </w:pPr>
    </w:p>
    <w:p w14:paraId="07DC8093" w14:textId="77777777" w:rsidR="00377BE0" w:rsidRPr="00377BE0" w:rsidRDefault="00377BE0" w:rsidP="00377BE0">
      <w:pPr>
        <w:rPr>
          <w:b/>
          <w:bCs/>
          <w:lang w:val="en-US"/>
        </w:rPr>
      </w:pPr>
      <w:r w:rsidRPr="00377BE0">
        <w:rPr>
          <w:b/>
          <w:bCs/>
          <w:lang w:val="en-US"/>
        </w:rPr>
        <w:t>Retention and Professional Growth</w:t>
      </w:r>
    </w:p>
    <w:p w14:paraId="313D2FB7" w14:textId="263063F2" w:rsidR="00377BE0" w:rsidRPr="00377BE0" w:rsidRDefault="00377BE0" w:rsidP="00377BE0">
      <w:pPr>
        <w:rPr>
          <w:lang w:val="en-US"/>
        </w:rPr>
      </w:pPr>
      <w:r w:rsidRPr="00377BE0">
        <w:rPr>
          <w:lang w:val="en-US"/>
        </w:rPr>
        <w:t xml:space="preserve">MPVA is committed to retaining high-quality educators by providing ongoing support, leadership opportunities, and professional learning aligned to the magnet theme. Teachers are </w:t>
      </w:r>
      <w:r w:rsidRPr="00377BE0">
        <w:rPr>
          <w:lang w:val="en-US"/>
        </w:rPr>
        <w:t>provided with</w:t>
      </w:r>
      <w:r w:rsidRPr="00377BE0">
        <w:rPr>
          <w:lang w:val="en-US"/>
        </w:rPr>
        <w:t xml:space="preserve"> opportunities to:</w:t>
      </w:r>
    </w:p>
    <w:p w14:paraId="135C4EAF" w14:textId="77777777" w:rsidR="00377BE0" w:rsidRPr="00377BE0" w:rsidRDefault="00377BE0" w:rsidP="00377BE0">
      <w:pPr>
        <w:numPr>
          <w:ilvl w:val="0"/>
          <w:numId w:val="2"/>
        </w:numPr>
        <w:rPr>
          <w:lang w:val="en-US"/>
        </w:rPr>
      </w:pPr>
      <w:r w:rsidRPr="00377BE0">
        <w:rPr>
          <w:lang w:val="en-US"/>
        </w:rPr>
        <w:t>Participate in interdisciplinary planning and collaboration.</w:t>
      </w:r>
    </w:p>
    <w:p w14:paraId="574342D3" w14:textId="77777777" w:rsidR="00377BE0" w:rsidRPr="00377BE0" w:rsidRDefault="00377BE0" w:rsidP="00377BE0">
      <w:pPr>
        <w:numPr>
          <w:ilvl w:val="0"/>
          <w:numId w:val="2"/>
        </w:numPr>
        <w:rPr>
          <w:lang w:val="en-US"/>
        </w:rPr>
      </w:pPr>
      <w:r w:rsidRPr="00377BE0">
        <w:rPr>
          <w:lang w:val="en-US"/>
        </w:rPr>
        <w:t>Engage in professional development focused on arts integration and innovative instructional practices.</w:t>
      </w:r>
    </w:p>
    <w:p w14:paraId="4A677BC8" w14:textId="77777777" w:rsidR="00377BE0" w:rsidRPr="00377BE0" w:rsidRDefault="00377BE0" w:rsidP="00377BE0">
      <w:pPr>
        <w:numPr>
          <w:ilvl w:val="0"/>
          <w:numId w:val="2"/>
        </w:numPr>
        <w:rPr>
          <w:lang w:val="en-US"/>
        </w:rPr>
      </w:pPr>
      <w:r w:rsidRPr="00377BE0">
        <w:rPr>
          <w:lang w:val="en-US"/>
        </w:rPr>
        <w:t>Collaborate with Fine Arts and academic departments to design magnet-themed learning experiences.</w:t>
      </w:r>
    </w:p>
    <w:p w14:paraId="7F048D68" w14:textId="77777777" w:rsidR="00377BE0" w:rsidRPr="00377BE0" w:rsidRDefault="00377BE0" w:rsidP="00377BE0">
      <w:pPr>
        <w:numPr>
          <w:ilvl w:val="0"/>
          <w:numId w:val="2"/>
        </w:numPr>
        <w:rPr>
          <w:lang w:val="en-US"/>
        </w:rPr>
      </w:pPr>
      <w:r w:rsidRPr="00377BE0">
        <w:rPr>
          <w:lang w:val="en-US"/>
        </w:rPr>
        <w:t>Participate in leadership teams, professional learning communities, and campus improvement initiatives.</w:t>
      </w:r>
    </w:p>
    <w:p w14:paraId="6CB1C23E" w14:textId="77777777" w:rsidR="00377BE0" w:rsidRPr="00377BE0" w:rsidRDefault="00377BE0" w:rsidP="00377BE0">
      <w:pPr>
        <w:numPr>
          <w:ilvl w:val="0"/>
          <w:numId w:val="2"/>
        </w:numPr>
        <w:rPr>
          <w:lang w:val="en-US"/>
        </w:rPr>
      </w:pPr>
      <w:r w:rsidRPr="00377BE0">
        <w:rPr>
          <w:lang w:val="en-US"/>
        </w:rPr>
        <w:t>Showcase student learning through performances, exhibitions, presentations, and community events.</w:t>
      </w:r>
    </w:p>
    <w:p w14:paraId="7A75C147" w14:textId="77777777" w:rsidR="00377BE0" w:rsidRDefault="00377BE0" w:rsidP="00377BE0">
      <w:pPr>
        <w:rPr>
          <w:lang w:val="en-US"/>
        </w:rPr>
      </w:pPr>
      <w:r w:rsidRPr="00377BE0">
        <w:rPr>
          <w:lang w:val="en-US"/>
        </w:rPr>
        <w:t>The campus fosters a collaborative culture that values innovation, creativity, continuous improvement, and shared ownership of the magnet program.</w:t>
      </w:r>
    </w:p>
    <w:p w14:paraId="56A0B617" w14:textId="77777777" w:rsidR="00377BE0" w:rsidRPr="00377BE0" w:rsidRDefault="00377BE0" w:rsidP="00377BE0">
      <w:pPr>
        <w:rPr>
          <w:lang w:val="en-US"/>
        </w:rPr>
      </w:pPr>
    </w:p>
    <w:p w14:paraId="1284AB45" w14:textId="77777777" w:rsidR="00377BE0" w:rsidRPr="00377BE0" w:rsidRDefault="00377BE0" w:rsidP="00377BE0">
      <w:pPr>
        <w:rPr>
          <w:b/>
          <w:bCs/>
          <w:lang w:val="en-US"/>
        </w:rPr>
      </w:pPr>
      <w:r w:rsidRPr="00377BE0">
        <w:rPr>
          <w:b/>
          <w:bCs/>
          <w:lang w:val="en-US"/>
        </w:rPr>
        <w:t>Program Alignment</w:t>
      </w:r>
    </w:p>
    <w:p w14:paraId="06AB2DE4" w14:textId="77777777" w:rsidR="00377BE0" w:rsidRPr="00377BE0" w:rsidRDefault="00377BE0" w:rsidP="00377BE0">
      <w:pPr>
        <w:rPr>
          <w:lang w:val="en-US"/>
        </w:rPr>
      </w:pPr>
      <w:r w:rsidRPr="00377BE0">
        <w:rPr>
          <w:lang w:val="en-US"/>
        </w:rPr>
        <w:t xml:space="preserve">All recruitment, selection, and retention practices are designed to ensure that staffing decisions support the goals of the Performing and Visual Arts magnet program. Through intentional hiring practices and ongoing professional support, MPVA seeks to build and sustain a team of educators capable of delivering high-quality instruction while advancing the school's magnet </w:t>
      </w:r>
      <w:proofErr w:type="gramStart"/>
      <w:r w:rsidRPr="00377BE0">
        <w:rPr>
          <w:lang w:val="en-US"/>
        </w:rPr>
        <w:t>theme</w:t>
      </w:r>
      <w:proofErr w:type="gramEnd"/>
      <w:r w:rsidRPr="00377BE0">
        <w:rPr>
          <w:lang w:val="en-US"/>
        </w:rPr>
        <w:t xml:space="preserve"> and providing students with meaningful, interdisciplinary learning experiences.</w:t>
      </w:r>
    </w:p>
    <w:p w14:paraId="4ACA378C" w14:textId="77777777" w:rsidR="000E3C16" w:rsidRDefault="000E3C16"/>
    <w:p w14:paraId="4AC1E31B" w14:textId="77777777" w:rsidR="000E3C16" w:rsidRDefault="000E3C16"/>
    <w:p w14:paraId="0B325635" w14:textId="77777777" w:rsidR="000E3C16" w:rsidRDefault="00000000">
      <w:r>
        <w:rPr>
          <w:noProof/>
        </w:rPr>
        <w:drawing>
          <wp:anchor distT="114300" distB="114300" distL="114300" distR="114300" simplePos="0" relativeHeight="251658240" behindDoc="1" locked="0" layoutInCell="1" hidden="0" allowOverlap="1" wp14:anchorId="124E166B" wp14:editId="58BECB94">
            <wp:simplePos x="0" y="0"/>
            <wp:positionH relativeFrom="page">
              <wp:posOffset>1457325</wp:posOffset>
            </wp:positionH>
            <wp:positionV relativeFrom="page">
              <wp:posOffset>2549012</wp:posOffset>
            </wp:positionV>
            <wp:extent cx="4852988" cy="4852988"/>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alphaModFix amt="10000"/>
                    </a:blip>
                    <a:srcRect/>
                    <a:stretch>
                      <a:fillRect/>
                    </a:stretch>
                  </pic:blipFill>
                  <pic:spPr>
                    <a:xfrm>
                      <a:off x="0" y="0"/>
                      <a:ext cx="4852988" cy="4852988"/>
                    </a:xfrm>
                    <a:prstGeom prst="rect">
                      <a:avLst/>
                    </a:prstGeom>
                    <a:ln/>
                  </pic:spPr>
                </pic:pic>
              </a:graphicData>
            </a:graphic>
          </wp:anchor>
        </w:drawing>
      </w:r>
    </w:p>
    <w:p w14:paraId="2521E91A" w14:textId="77777777" w:rsidR="000E3C16" w:rsidRDefault="000E3C16"/>
    <w:p w14:paraId="20F8469D" w14:textId="77777777" w:rsidR="000E3C16" w:rsidRDefault="000E3C16"/>
    <w:p w14:paraId="6FB9C967" w14:textId="77777777" w:rsidR="000E3C16" w:rsidRDefault="000E3C16"/>
    <w:p w14:paraId="4570627D" w14:textId="77777777" w:rsidR="000E3C16" w:rsidRDefault="000E3C16"/>
    <w:p w14:paraId="037F28CF" w14:textId="77777777" w:rsidR="000E3C16" w:rsidRDefault="000E3C16"/>
    <w:p w14:paraId="404D470B" w14:textId="77777777" w:rsidR="000E3C16" w:rsidRDefault="000E3C16"/>
    <w:p w14:paraId="6FAB5386" w14:textId="77777777" w:rsidR="000E3C16" w:rsidRDefault="000E3C16"/>
    <w:p w14:paraId="1AB0366A" w14:textId="77777777" w:rsidR="000E3C16" w:rsidRDefault="000E3C16"/>
    <w:p w14:paraId="7524485C" w14:textId="77777777" w:rsidR="000E3C16" w:rsidRDefault="000E3C16"/>
    <w:p w14:paraId="0BF8F90C" w14:textId="77777777" w:rsidR="000E3C16" w:rsidRDefault="000E3C16"/>
    <w:p w14:paraId="6976EC24" w14:textId="77777777" w:rsidR="000E3C16" w:rsidRDefault="000E3C16"/>
    <w:sectPr w:rsidR="000E3C16">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B4BB53" w14:textId="77777777" w:rsidR="003F042E" w:rsidRDefault="003F042E">
      <w:pPr>
        <w:spacing w:line="240" w:lineRule="auto"/>
      </w:pPr>
      <w:r>
        <w:separator/>
      </w:r>
    </w:p>
  </w:endnote>
  <w:endnote w:type="continuationSeparator" w:id="0">
    <w:p w14:paraId="40710503" w14:textId="77777777" w:rsidR="003F042E" w:rsidRDefault="003F04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4524E22F-4C56-48F3-B77C-C03C690A8532}"/>
  </w:font>
  <w:font w:name="Calibri">
    <w:panose1 w:val="020F0502020204030204"/>
    <w:charset w:val="00"/>
    <w:family w:val="swiss"/>
    <w:pitch w:val="variable"/>
    <w:sig w:usb0="E4002EFF" w:usb1="C200247B" w:usb2="00000009" w:usb3="00000000" w:csb0="000001FF" w:csb1="00000000"/>
    <w:embedRegular r:id="rId2" w:fontKey="{11CD97EA-0F43-42F7-BD7A-52DC07BD0AA2}"/>
  </w:font>
  <w:font w:name="Cambria">
    <w:panose1 w:val="02040503050406030204"/>
    <w:charset w:val="00"/>
    <w:family w:val="roman"/>
    <w:pitch w:val="variable"/>
    <w:sig w:usb0="E00006FF" w:usb1="420024FF" w:usb2="02000000" w:usb3="00000000" w:csb0="0000019F" w:csb1="00000000"/>
    <w:embedRegular r:id="rId3" w:fontKey="{545DE6F8-F655-4331-A5D4-AA1F66D127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66572" w14:textId="77777777" w:rsidR="000E3C16" w:rsidRDefault="000E3C16">
    <w:pPr>
      <w:jc w:val="center"/>
      <w:rPr>
        <w:rFonts w:ascii="Montserrat" w:eastAsia="Montserrat" w:hAnsi="Montserrat" w:cs="Montserrat"/>
      </w:rPr>
    </w:pPr>
  </w:p>
  <w:p w14:paraId="62DE8F3E" w14:textId="77777777" w:rsidR="000E3C16" w:rsidRDefault="00000000">
    <w:pPr>
      <w:jc w:val="center"/>
      <w:rPr>
        <w:rFonts w:ascii="Montserrat" w:eastAsia="Montserrat" w:hAnsi="Montserrat" w:cs="Montserrat"/>
      </w:rPr>
    </w:pPr>
    <w:r>
      <w:pict w14:anchorId="6E7DA132">
        <v:rect id="_x0000_i1025" style="width:0;height:1.5pt" o:hralign="center" o:hrstd="t" o:hr="t" fillcolor="#a0a0a0" stroked="f"/>
      </w:pict>
    </w:r>
  </w:p>
  <w:p w14:paraId="0F2A2CA5" w14:textId="77777777" w:rsidR="000E3C16" w:rsidRDefault="000E3C16">
    <w:pPr>
      <w:jc w:val="center"/>
      <w:rPr>
        <w:rFonts w:ascii="Montserrat" w:eastAsia="Montserrat" w:hAnsi="Montserrat" w:cs="Montserrat"/>
      </w:rPr>
    </w:pPr>
  </w:p>
  <w:p w14:paraId="5FFF77BA" w14:textId="77777777" w:rsidR="000E3C16" w:rsidRDefault="00000000">
    <w:pPr>
      <w:jc w:val="center"/>
      <w:rPr>
        <w:rFonts w:ascii="Montserrat" w:eastAsia="Montserrat" w:hAnsi="Montserrat" w:cs="Montserrat"/>
      </w:rPr>
    </w:pPr>
    <w:r>
      <w:rPr>
        <w:rFonts w:ascii="Montserrat" w:eastAsia="Montserrat" w:hAnsi="Montserrat" w:cs="Montserrat"/>
      </w:rPr>
      <w:t xml:space="preserve">10410 Manhattan Dr. </w:t>
    </w:r>
    <w:proofErr w:type="gramStart"/>
    <w:r>
      <w:rPr>
        <w:rFonts w:ascii="Montserrat" w:eastAsia="Montserrat" w:hAnsi="Montserrat" w:cs="Montserrat"/>
      </w:rPr>
      <w:t>●  Houston</w:t>
    </w:r>
    <w:proofErr w:type="gramEnd"/>
    <w:r>
      <w:rPr>
        <w:rFonts w:ascii="Montserrat" w:eastAsia="Montserrat" w:hAnsi="Montserrat" w:cs="Montserrat"/>
      </w:rPr>
      <w:t xml:space="preserve">, Texas </w:t>
    </w:r>
    <w:r>
      <w:rPr>
        <w:rFonts w:ascii="Montserrat" w:eastAsia="Montserrat" w:hAnsi="Montserrat" w:cs="Montserrat"/>
      </w:rPr>
      <w:tab/>
    </w:r>
    <w:proofErr w:type="gramStart"/>
    <w:r>
      <w:rPr>
        <w:rFonts w:ascii="Montserrat" w:eastAsia="Montserrat" w:hAnsi="Montserrat" w:cs="Montserrat"/>
      </w:rPr>
      <w:t>●  77096</w:t>
    </w:r>
    <w:proofErr w:type="gramEnd"/>
    <w:r>
      <w:rPr>
        <w:rFonts w:ascii="Montserrat" w:eastAsia="Montserrat" w:hAnsi="Montserrat" w:cs="Montserrat"/>
      </w:rPr>
      <w:t xml:space="preserve">  </w:t>
    </w:r>
    <w:proofErr w:type="gramStart"/>
    <w:r>
      <w:rPr>
        <w:rFonts w:ascii="Montserrat" w:eastAsia="Montserrat" w:hAnsi="Montserrat" w:cs="Montserrat"/>
      </w:rPr>
      <w:t>●  713</w:t>
    </w:r>
    <w:proofErr w:type="gramEnd"/>
    <w:r>
      <w:rPr>
        <w:rFonts w:ascii="Montserrat" w:eastAsia="Montserrat" w:hAnsi="Montserrat" w:cs="Montserrat"/>
      </w:rPr>
      <w:t>-726-3616</w:t>
    </w:r>
  </w:p>
  <w:p w14:paraId="66A106D7" w14:textId="77777777" w:rsidR="000E3C16" w:rsidRDefault="00000000">
    <w:pPr>
      <w:jc w:val="center"/>
      <w:rPr>
        <w:rFonts w:ascii="Montserrat" w:eastAsia="Montserrat" w:hAnsi="Montserrat" w:cs="Montserrat"/>
      </w:rPr>
    </w:pPr>
    <w:r>
      <w:rPr>
        <w:rFonts w:ascii="Montserrat" w:eastAsia="Montserrat" w:hAnsi="Montserrat" w:cs="Montserrat"/>
      </w:rPr>
      <w:t>meyerland.houstonisd.org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87529" w14:textId="77777777" w:rsidR="003F042E" w:rsidRDefault="003F042E">
      <w:pPr>
        <w:spacing w:line="240" w:lineRule="auto"/>
      </w:pPr>
      <w:r>
        <w:separator/>
      </w:r>
    </w:p>
  </w:footnote>
  <w:footnote w:type="continuationSeparator" w:id="0">
    <w:p w14:paraId="753D9C24" w14:textId="77777777" w:rsidR="003F042E" w:rsidRDefault="003F04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A2BC1" w14:textId="77777777" w:rsidR="000E3C16" w:rsidRDefault="00000000">
    <w:r>
      <w:rPr>
        <w:noProof/>
        <w:color w:val="444444"/>
        <w:sz w:val="18"/>
        <w:szCs w:val="18"/>
        <w:highlight w:val="white"/>
      </w:rPr>
      <w:drawing>
        <wp:inline distT="114300" distB="114300" distL="114300" distR="114300" wp14:anchorId="20241B89" wp14:editId="24410C32">
          <wp:extent cx="5943600" cy="1028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10287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721B5"/>
    <w:multiLevelType w:val="multilevel"/>
    <w:tmpl w:val="9A204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31612B"/>
    <w:multiLevelType w:val="multilevel"/>
    <w:tmpl w:val="D682B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4686528">
    <w:abstractNumId w:val="1"/>
  </w:num>
  <w:num w:numId="2" w16cid:durableId="746535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C16"/>
    <w:rsid w:val="000E3C16"/>
    <w:rsid w:val="00377BE0"/>
    <w:rsid w:val="003F042E"/>
    <w:rsid w:val="0059361F"/>
    <w:rsid w:val="00B840AB"/>
    <w:rsid w:val="00BA7334"/>
    <w:rsid w:val="00C73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20CC2E"/>
  <w15:docId w15:val="{DFFC35C7-FBC5-41D6-A40E-619641E23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508</Words>
  <Characters>2896</Characters>
  <Application>Microsoft Office Word</Application>
  <DocSecurity>0</DocSecurity>
  <Lines>24</Lines>
  <Paragraphs>6</Paragraphs>
  <ScaleCrop>false</ScaleCrop>
  <Company/>
  <LinksUpToDate>false</LinksUpToDate>
  <CharactersWithSpaces>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Vinne J</dc:creator>
  <cp:lastModifiedBy>Edward, Vinne J</cp:lastModifiedBy>
  <cp:revision>2</cp:revision>
  <dcterms:created xsi:type="dcterms:W3CDTF">2026-06-06T22:47:00Z</dcterms:created>
  <dcterms:modified xsi:type="dcterms:W3CDTF">2026-06-06T22:47:00Z</dcterms:modified>
</cp:coreProperties>
</file>