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Humane Education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*Prior to meeting with the therapy dog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Compare Human Emotions vs Dog Emotions (Utilize Posters)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Caring for an animal.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ab/>
        <w:t xml:space="preserve">What animals need.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ab/>
        <w:t xml:space="preserve">What animals want.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ab/>
        <w:t xml:space="preserve">What is not good for an animal.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ab/>
        <w:t xml:space="preserve">How can we help animals we do not know.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Interacting with an animal.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ab/>
        <w:t xml:space="preserve">What to know first.</w:t>
      </w:r>
    </w:p>
    <w:p w:rsidR="00000000" w:rsidDel="00000000" w:rsidP="00000000" w:rsidRDefault="00000000" w:rsidRPr="00000000" w14:paraId="0000000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Dog body language. 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Wash hands or use hand sanitizer before and after working with Duran.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Always ask to pet Duran.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 Duran on his back or under his head (never over the top of his head).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Always ask to feed Duran (He only eats dog food and treats).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giving Duran a treat, use an open hand.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are feeling frustrated, scared or angry with Duran, feel free to ask to step outside the office/classroom.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36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