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-1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ي</w:t>
      </w:r>
      <w:r w:rsidDel="00000000" w:rsidR="00000000" w:rsidRPr="00000000">
        <w:rPr>
          <w:sz w:val="18"/>
          <w:szCs w:val="18"/>
          <w:rtl w:val="1"/>
        </w:rPr>
        <w:t xml:space="preserve">ُ</w:t>
      </w:r>
      <w:r w:rsidDel="00000000" w:rsidR="00000000" w:rsidRPr="00000000">
        <w:rPr>
          <w:sz w:val="18"/>
          <w:szCs w:val="18"/>
          <w:rtl w:val="1"/>
        </w:rPr>
        <w:t xml:space="preserve">طلب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مدارس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كاليفورنيا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التحقق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سجلات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التطعيم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قبل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دخول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المدرسة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يجب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استيفاء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متطلبات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التطعيم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التالية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قبل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يتمكن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الطالب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التسجيل</w:t>
      </w:r>
      <w:r w:rsidDel="00000000" w:rsidR="00000000" w:rsidRPr="00000000">
        <w:rPr>
          <w:sz w:val="18"/>
          <w:szCs w:val="18"/>
          <w:rtl w:val="1"/>
        </w:rPr>
        <w:t xml:space="preserve">/ </w:t>
      </w:r>
      <w:r w:rsidDel="00000000" w:rsidR="00000000" w:rsidRPr="00000000">
        <w:rPr>
          <w:sz w:val="18"/>
          <w:szCs w:val="18"/>
          <w:rtl w:val="1"/>
        </w:rPr>
        <w:t xml:space="preserve">الحضور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إلى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المدرسة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يجب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أيض</w:t>
      </w:r>
      <w:r w:rsidDel="00000000" w:rsidR="00000000" w:rsidRPr="00000000">
        <w:rPr>
          <w:sz w:val="18"/>
          <w:szCs w:val="18"/>
          <w:rtl w:val="1"/>
        </w:rPr>
        <w:t xml:space="preserve">ً</w:t>
      </w:r>
      <w:r w:rsidDel="00000000" w:rsidR="00000000" w:rsidRPr="00000000">
        <w:rPr>
          <w:sz w:val="18"/>
          <w:szCs w:val="18"/>
          <w:rtl w:val="1"/>
        </w:rPr>
        <w:t xml:space="preserve">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استيفاء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هذه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المتطلبات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عند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انتقال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الطالب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إلى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مدرسة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جديدة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و</w:t>
      </w:r>
      <w:r w:rsidDel="00000000" w:rsidR="00000000" w:rsidRPr="00000000">
        <w:rPr>
          <w:sz w:val="18"/>
          <w:szCs w:val="18"/>
          <w:rtl w:val="1"/>
        </w:rPr>
        <w:t xml:space="preserve">/ </w:t>
      </w:r>
      <w:r w:rsidDel="00000000" w:rsidR="00000000" w:rsidRPr="00000000">
        <w:rPr>
          <w:sz w:val="18"/>
          <w:szCs w:val="18"/>
          <w:rtl w:val="1"/>
        </w:rPr>
        <w:t xml:space="preserve">أو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بدء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مرحلة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قبل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المدرسة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الروضة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الصف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التمهيدي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الانتقالي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الصف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التمهيدي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و</w:t>
      </w:r>
      <w:r w:rsidDel="00000000" w:rsidR="00000000" w:rsidRPr="00000000">
        <w:rPr>
          <w:sz w:val="18"/>
          <w:szCs w:val="18"/>
          <w:rtl w:val="1"/>
        </w:rPr>
        <w:t xml:space="preserve">/ </w:t>
      </w:r>
      <w:r w:rsidDel="00000000" w:rsidR="00000000" w:rsidRPr="00000000">
        <w:rPr>
          <w:sz w:val="18"/>
          <w:szCs w:val="18"/>
          <w:rtl w:val="1"/>
        </w:rPr>
        <w:t xml:space="preserve">أو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الصف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السابع</w:t>
      </w:r>
      <w:r w:rsidDel="00000000" w:rsidR="00000000" w:rsidRPr="00000000">
        <w:rPr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ind w:left="-180" w:firstLine="0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ماذا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تحتاج</w:t>
      </w:r>
    </w:p>
    <w:p w:rsidR="00000000" w:rsidDel="00000000" w:rsidP="00000000" w:rsidRDefault="00000000" w:rsidRPr="00000000" w14:paraId="00000004">
      <w:pPr>
        <w:bidi w:val="1"/>
        <w:ind w:left="-1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عند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التسجيل</w:t>
      </w:r>
      <w:r w:rsidDel="00000000" w:rsidR="00000000" w:rsidRPr="00000000">
        <w:rPr>
          <w:sz w:val="18"/>
          <w:szCs w:val="18"/>
          <w:rtl w:val="1"/>
        </w:rPr>
        <w:t xml:space="preserve">، </w:t>
      </w:r>
      <w:r w:rsidDel="00000000" w:rsidR="00000000" w:rsidRPr="00000000">
        <w:rPr>
          <w:sz w:val="18"/>
          <w:szCs w:val="18"/>
          <w:rtl w:val="1"/>
        </w:rPr>
        <w:t xml:space="preserve">ستحتاج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إلى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سجل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لقاحات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توضح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طفلك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قد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تلقى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جميع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التطعيمات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المطلوبة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فيما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يلي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أنواع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الإثباتات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المقبولة</w:t>
      </w:r>
      <w:r w:rsidDel="00000000" w:rsidR="00000000" w:rsidRPr="00000000">
        <w:rPr>
          <w:sz w:val="18"/>
          <w:szCs w:val="18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ind w:left="-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1. </w:t>
      </w:r>
      <w:r w:rsidDel="00000000" w:rsidR="00000000" w:rsidRPr="00000000">
        <w:rPr>
          <w:sz w:val="18"/>
          <w:szCs w:val="18"/>
          <w:rtl w:val="1"/>
        </w:rPr>
        <w:t xml:space="preserve">سجل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التحصين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كاليفورنيا</w:t>
      </w:r>
    </w:p>
    <w:p w:rsidR="00000000" w:rsidDel="00000000" w:rsidP="00000000" w:rsidRDefault="00000000" w:rsidRPr="00000000" w14:paraId="00000006">
      <w:pPr>
        <w:bidi w:val="1"/>
        <w:ind w:left="-18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18"/>
          <w:szCs w:val="18"/>
          <w:rtl w:val="1"/>
        </w:rPr>
        <w:t xml:space="preserve">2. </w:t>
      </w:r>
      <w:r w:rsidDel="00000000" w:rsidR="00000000" w:rsidRPr="00000000">
        <w:rPr>
          <w:sz w:val="18"/>
          <w:szCs w:val="18"/>
          <w:rtl w:val="1"/>
        </w:rPr>
        <w:t xml:space="preserve">شكل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آخر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أشكال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سجل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التطعيم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طبيبك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مع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تاريخ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كل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تحصين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لطفلك</w:t>
      </w:r>
    </w:p>
    <w:p w:rsidR="00000000" w:rsidDel="00000000" w:rsidP="00000000" w:rsidRDefault="00000000" w:rsidRPr="00000000" w14:paraId="00000007">
      <w:pPr>
        <w:bidi w:val="1"/>
        <w:ind w:left="-1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يجب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أن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</w:t>
      </w:r>
      <w:r w:rsidDel="00000000" w:rsidR="00000000" w:rsidRPr="00000000">
        <w:rPr>
          <w:sz w:val="18"/>
          <w:szCs w:val="18"/>
          <w:rtl w:val="1"/>
        </w:rPr>
        <w:t xml:space="preserve">ُ</w:t>
      </w:r>
      <w:r w:rsidDel="00000000" w:rsidR="00000000" w:rsidRPr="00000000">
        <w:rPr>
          <w:sz w:val="18"/>
          <w:szCs w:val="18"/>
          <w:rtl w:val="1"/>
        </w:rPr>
        <w:t xml:space="preserve">ظهر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السجل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على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الأقل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الشهر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والسنة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لكل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تحصين</w:t>
      </w:r>
      <w:r w:rsidDel="00000000" w:rsidR="00000000" w:rsidRPr="00000000">
        <w:rPr>
          <w:sz w:val="18"/>
          <w:szCs w:val="18"/>
          <w:rtl w:val="1"/>
        </w:rPr>
        <w:t xml:space="preserve">. </w:t>
      </w:r>
      <w:r w:rsidDel="00000000" w:rsidR="00000000" w:rsidRPr="00000000">
        <w:rPr>
          <w:sz w:val="18"/>
          <w:szCs w:val="18"/>
          <w:rtl w:val="1"/>
        </w:rPr>
        <w:t xml:space="preserve">قد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تحتاج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إلى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الاتصال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بطبيبك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أو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بالعيادة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للحصول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على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هذه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الوثائق</w:t>
      </w:r>
      <w:r w:rsidDel="00000000" w:rsidR="00000000" w:rsidRPr="00000000">
        <w:rPr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-1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1"/>
        </w:rPr>
        <w:t xml:space="preserve">تحليل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الدم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لا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يفي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بهذه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المتطلبات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ولهذا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لا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يعتبر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إثبات</w:t>
      </w:r>
      <w:r w:rsidDel="00000000" w:rsidR="00000000" w:rsidRPr="00000000">
        <w:rPr>
          <w:sz w:val="18"/>
          <w:szCs w:val="18"/>
          <w:rtl w:val="1"/>
        </w:rPr>
        <w:t xml:space="preserve"> </w:t>
      </w:r>
      <w:r w:rsidDel="00000000" w:rsidR="00000000" w:rsidRPr="00000000">
        <w:rPr>
          <w:sz w:val="18"/>
          <w:szCs w:val="18"/>
          <w:rtl w:val="1"/>
        </w:rPr>
        <w:t xml:space="preserve">للتطعيم</w:t>
      </w:r>
      <w:r w:rsidDel="00000000" w:rsidR="00000000" w:rsidRPr="00000000">
        <w:rPr>
          <w:sz w:val="18"/>
          <w:szCs w:val="18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التحصينات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المطلوبة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بموجب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قانون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الولاية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ind w:left="-180" w:firstLine="0"/>
        <w:rPr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265.0" w:type="dxa"/>
        <w:jc w:val="left"/>
        <w:tblInd w:w="-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915"/>
        <w:gridCol w:w="8010"/>
        <w:tblGridChange w:id="0">
          <w:tblGrid>
            <w:gridCol w:w="2340"/>
            <w:gridCol w:w="915"/>
            <w:gridCol w:w="8010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ind w:right="-109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التطعيمات</w:t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ind w:right="66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الجرعة</w:t>
            </w: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الجرعات</w:t>
            </w: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)</w:t>
            </w:r>
          </w:p>
        </w:tc>
        <w:tc>
          <w:tcPr>
            <w:shd w:fill="366091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ind w:right="379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1"/>
              </w:rPr>
              <w:t xml:space="preserve">الملاحظات</w:t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شلل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الأطفال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Polio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ind w:right="-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4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جرعات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1"/>
              <w:numPr>
                <w:ilvl w:val="0"/>
                <w:numId w:val="4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لم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لقاحات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فيروس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شلل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الأطفال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الفموي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(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OPV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تعطى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1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نيسان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2016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تحسب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ضمن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متطلبات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4"/>
              </w:numPr>
              <w:bidi w:val="1"/>
              <w:ind w:left="27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3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مقبول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بها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أعطيت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الطفل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الرابع</w:t>
            </w:r>
          </w:p>
        </w:tc>
      </w:tr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لقاح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الخناق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الكزاز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السعال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الديكي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     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ind w:right="-75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5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جرعات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1"/>
              <w:numPr>
                <w:ilvl w:val="0"/>
                <w:numId w:val="4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Tdap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Td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كان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عمر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الطفل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7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سنوات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أكبر</w:t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4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4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مقبول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بها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أعطيت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الطفل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الرابع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للطلاب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المسجلين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مرحلة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البريسكول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widowControl w:val="1"/>
              <w:numPr>
                <w:ilvl w:val="0"/>
                <w:numId w:val="4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3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مقبول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بها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إعطاء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آخر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السابع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يجب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تكون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الأقل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Tdap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DTP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السابع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لجميع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طلاب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السابع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الثاني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عشر</w:t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4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يجب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تكون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الأقل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Tdap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/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DTP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السابع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لجميع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طلاب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السابع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الثاني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عشر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التهاب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الكبد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Hepatitis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ind w:right="-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3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جرعات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numPr>
                <w:ilvl w:val="0"/>
                <w:numId w:val="3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غير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مطلوبة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للطلاب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المنتقلين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الصف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السابع</w:t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الحصبة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والنكاف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والحصبة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الألمانية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MMR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ind w:right="-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2 /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جرعتين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3"/>
              </w:numPr>
              <w:bidi w:val="1"/>
              <w:ind w:left="270" w:right="-30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يتم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إعطاء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كلا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الجرعتين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للطفل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E">
            <w:pPr>
              <w:widowControl w:val="1"/>
              <w:numPr>
                <w:ilvl w:val="0"/>
                <w:numId w:val="3"/>
              </w:numPr>
              <w:bidi w:val="1"/>
              <w:ind w:left="270" w:right="-30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مقبولة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للتسجيل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مرحلة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البريسكول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الحماق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جدري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الماء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21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Varicella (Chickenpox)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ind w:right="-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2 /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جرعتين</w:t>
            </w:r>
          </w:p>
          <w:p w:rsidR="00000000" w:rsidDel="00000000" w:rsidP="00000000" w:rsidRDefault="00000000" w:rsidRPr="00000000" w14:paraId="00000023">
            <w:pPr>
              <w:bidi w:val="1"/>
              <w:ind w:right="-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numPr>
                <w:ilvl w:val="0"/>
                <w:numId w:val="3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اصابة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سابقة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للمرض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1"/>
              </w:rPr>
              <w:t xml:space="preserve">غير</w:t>
            </w:r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1"/>
              </w:rPr>
              <w:t xml:space="preserve">كافية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للتنازل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هذا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التحصين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widowControl w:val="1"/>
              <w:numPr>
                <w:ilvl w:val="0"/>
                <w:numId w:val="3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مطلوب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استثناء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طبي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دائم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للتحصين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CAIR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ME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6">
            <w:pPr>
              <w:widowControl w:val="1"/>
              <w:numPr>
                <w:ilvl w:val="0"/>
                <w:numId w:val="3"/>
              </w:numPr>
              <w:bidi w:val="1"/>
              <w:ind w:left="270" w:right="-30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مقبولة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للتسجيل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مرحلة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البريسكول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Tdap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للصف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7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8)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ind w:right="-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1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numPr>
                <w:ilvl w:val="0"/>
                <w:numId w:val="2"/>
              </w:numPr>
              <w:bidi w:val="1"/>
              <w:ind w:left="270" w:right="-30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DTP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DTaP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يتم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اعطاؤه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الطفل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السابع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   </w:t>
            </w:r>
          </w:p>
        </w:tc>
      </w:tr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Hib </w:t>
            </w:r>
          </w:p>
          <w:p w:rsidR="00000000" w:rsidDel="00000000" w:rsidP="00000000" w:rsidRDefault="00000000" w:rsidRPr="00000000" w14:paraId="0000002B">
            <w:pPr>
              <w:bidi w:val="1"/>
              <w:ind w:right="-109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لصف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الروضة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/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التمهيدي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فقط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ind w:right="-75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1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1"/>
              <w:numPr>
                <w:ilvl w:val="0"/>
                <w:numId w:val="2"/>
              </w:numPr>
              <w:bidi w:val="1"/>
              <w:ind w:left="270" w:right="-30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واحدة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يتم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إعطاؤها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ميلاد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الطفل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الأول</w:t>
            </w:r>
          </w:p>
          <w:p w:rsidR="00000000" w:rsidDel="00000000" w:rsidP="00000000" w:rsidRDefault="00000000" w:rsidRPr="00000000" w14:paraId="0000002E">
            <w:pPr>
              <w:widowControl w:val="1"/>
              <w:numPr>
                <w:ilvl w:val="0"/>
                <w:numId w:val="2"/>
              </w:numPr>
              <w:bidi w:val="1"/>
              <w:ind w:left="270" w:right="-30"/>
              <w:jc w:val="both"/>
              <w:rPr>
                <w:rFonts w:ascii="Noto Sans Symbols" w:cs="Noto Sans Symbols" w:eastAsia="Noto Sans Symbols" w:hAnsi="Noto Sans Symbol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جرعتان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مقبول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بهما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كان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العمر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أقل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14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شهر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ً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</w:t>
            </w:r>
          </w:p>
        </w:tc>
      </w:tr>
    </w:tbl>
    <w:p w:rsidR="00000000" w:rsidDel="00000000" w:rsidP="00000000" w:rsidRDefault="00000000" w:rsidRPr="00000000" w14:paraId="0000002F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126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35"/>
        <w:gridCol w:w="4530"/>
        <w:tblGridChange w:id="0">
          <w:tblGrid>
            <w:gridCol w:w="6735"/>
            <w:gridCol w:w="4530"/>
          </w:tblGrid>
        </w:tblGridChange>
      </w:tblGrid>
      <w:tr>
        <w:trPr>
          <w:cantSplit w:val="0"/>
          <w:trHeight w:val="5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5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60"/>
              <w:gridCol w:w="1770"/>
              <w:gridCol w:w="2880"/>
              <w:tblGridChange w:id="0">
                <w:tblGrid>
                  <w:gridCol w:w="1860"/>
                  <w:gridCol w:w="1770"/>
                  <w:gridCol w:w="2880"/>
                </w:tblGrid>
              </w:tblGridChange>
            </w:tblGrid>
            <w:tr>
              <w:trPr>
                <w:cantSplit w:val="0"/>
                <w:trHeight w:val="270" w:hRule="atLeast"/>
                <w:tblHeader w:val="0"/>
              </w:trPr>
              <w:tc>
                <w:tcPr>
                  <w:gridSpan w:val="2"/>
                  <w:shd w:fill="36609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1">
                  <w:pPr>
                    <w:bidi w:val="1"/>
                    <w:ind w:right="-109"/>
                    <w:jc w:val="center"/>
                    <w:rPr>
                      <w:b w:val="1"/>
                      <w:bCs w:val="1"/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استبعاد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اللقاح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إذا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لم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ي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ُ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عطى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للطفل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خلال</w:t>
                  </w:r>
                </w:p>
              </w:tc>
              <w:tc>
                <w:tcPr>
                  <w:shd w:fill="366091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33">
                  <w:pPr>
                    <w:bidi w:val="1"/>
                    <w:ind w:right="-109"/>
                    <w:jc w:val="center"/>
                    <w:rPr>
                      <w:b w:val="1"/>
                      <w:bCs w:val="1"/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ffffff"/>
                      <w:sz w:val="16"/>
                      <w:szCs w:val="16"/>
                      <w:rtl w:val="1"/>
                    </w:rPr>
                    <w:t xml:space="preserve">الجرعات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4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أسابيع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الأولى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6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شلل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الأطفال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#2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#2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7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12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الثانية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9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شلل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الأطفال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#3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#3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12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الثالثة</w:t>
                  </w:r>
                </w:p>
              </w:tc>
              <w:tc>
                <w:tcPr/>
                <w:p w:rsidR="00000000" w:rsidDel="00000000" w:rsidP="00000000" w:rsidRDefault="00000000" w:rsidRPr="00000000" w14:paraId="0000003C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شلل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الأطفال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#4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Polio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#4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3D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أسابيع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الأولى</w:t>
                  </w:r>
                </w:p>
              </w:tc>
              <w:tc>
                <w:tcPr/>
                <w:p w:rsidR="00000000" w:rsidDel="00000000" w:rsidP="00000000" w:rsidRDefault="00000000" w:rsidRPr="00000000" w14:paraId="0000003F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لقاح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الخناق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الكزاز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السعال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الديكي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#2      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أسابيع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الثانية</w:t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لقاح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الخناق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الكزاز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السعال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الديكي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#3      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12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الثالثة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لقاح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الخناق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الكزاز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السعال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الديكي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#4      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12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الرابعة</w:t>
                  </w:r>
                </w:p>
              </w:tc>
              <w:tc>
                <w:tcPr/>
                <w:p w:rsidR="00000000" w:rsidDel="00000000" w:rsidP="00000000" w:rsidRDefault="00000000" w:rsidRPr="00000000" w14:paraId="00000048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لقاح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الخناق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الكزاز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،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السعال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الديكي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DTaP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#5      </w:t>
                  </w:r>
                </w:p>
              </w:tc>
            </w:tr>
            <w:tr>
              <w:trPr>
                <w:cantSplit w:val="0"/>
                <w:trHeight w:val="144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9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أسابيع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الأولى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التهاب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الكبد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#2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Hepatitis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247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C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12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الثانية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و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4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الأقل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الأولى</w:t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التهاب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الكبد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#3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Hepatitis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B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#3 </w:t>
                  </w:r>
                </w:p>
              </w:tc>
            </w:tr>
            <w:tr>
              <w:trPr>
                <w:cantSplit w:val="0"/>
                <w:trHeight w:val="24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4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الأولى</w:t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الحصبة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والنكاف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والحصبة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الألمانية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#2  </w:t>
                  </w: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MMR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#2 </w:t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2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أسابيع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الأولى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bidi w:val="1"/>
                    <w:ind w:right="-105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أربعة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أشهر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بعد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الجرعة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الأولى</w:t>
                  </w:r>
                </w:p>
              </w:tc>
              <w:tc>
                <w:tcPr>
                  <w:vMerge w:val="restart"/>
                </w:tcPr>
                <w:p w:rsidR="00000000" w:rsidDel="00000000" w:rsidP="00000000" w:rsidRDefault="00000000" w:rsidRPr="00000000" w14:paraId="00000054">
                  <w:pPr>
                    <w:bidi w:val="1"/>
                    <w:ind w:right="-109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الحماق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جدري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الماء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) #2 </w:t>
                  </w:r>
                </w:p>
                <w:p w:rsidR="00000000" w:rsidDel="00000000" w:rsidP="00000000" w:rsidRDefault="00000000" w:rsidRPr="00000000" w14:paraId="00000055">
                  <w:pPr>
                    <w:ind w:right="-109"/>
                    <w:jc w:val="righ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Varicella (Chickenpox #2)</w:t>
                  </w:r>
                </w:p>
              </w:tc>
            </w:tr>
            <w:tr>
              <w:trPr>
                <w:cantSplit w:val="0"/>
                <w:trHeight w:val="213" w:hRule="atLeast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أقل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عمر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13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سنة</w:t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bidi w:val="1"/>
                    <w:ind w:right="-109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أقل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عمر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13 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سنة</w:t>
                  </w:r>
                  <w:r w:rsidDel="00000000" w:rsidR="00000000" w:rsidRPr="00000000">
                    <w:rPr>
                      <w:sz w:val="16"/>
                      <w:szCs w:val="16"/>
                      <w:rtl w:val="1"/>
                    </w:rPr>
                    <w:t xml:space="preserve"> </w:t>
                  </w:r>
                </w:p>
              </w:tc>
              <w:tc>
                <w:tcPr>
                  <w:vMerge w:val="continue"/>
                </w:tcPr>
                <w:p w:rsidR="00000000" w:rsidDel="00000000" w:rsidP="00000000" w:rsidRDefault="00000000" w:rsidRPr="00000000" w14:paraId="00000058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هل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تلقى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طفلك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جميع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التطعيمات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المطلوبة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؟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يكن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الأمر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كذلك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،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فيرجى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تحديد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موعد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مع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طبيبك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عيادة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التطعيم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التابعة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لإدارة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الصحة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العامة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مقاطعة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سان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دييغو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خذ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سجلاتك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معك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هذا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الموعد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تكن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تطعيمات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طفلك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محدثة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عند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بدء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الدراسة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1"/>
              </w:rPr>
              <w:t xml:space="preserve">فسيتم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1"/>
              </w:rPr>
              <w:t xml:space="preserve">استبعاد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طفلك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بموجب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القانون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المدرسة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color w:val="366091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bCs w:val="1"/>
                <w:color w:val="36609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جدول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القبول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المشروط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للصفوف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TK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 /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-12</w:t>
            </w:r>
          </w:p>
          <w:p w:rsidR="00000000" w:rsidDel="00000000" w:rsidP="00000000" w:rsidRDefault="00000000" w:rsidRPr="00000000" w14:paraId="0000005F">
            <w:pPr>
              <w:bidi w:val="1"/>
              <w:ind w:right="16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يبدأ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الطفل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بالمدرسة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،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يجب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يكون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حاصلا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الجرعة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الأولى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كل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لقاح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مطلوب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وأي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جرعات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لاحقة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مستحقة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بسبب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الفترة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الزمنية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المسموح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بها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قبل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انقضاء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فترة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الاستبعاد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jc w:val="center"/>
              <w:rPr>
                <w:b w:val="1"/>
                <w:bCs w:val="1"/>
                <w:color w:val="36609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إعفاءات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بسبب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المعتقدات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الشخصية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PBE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bCs w:val="1"/>
                <w:color w:val="0070c0"/>
                <w:sz w:val="11"/>
                <w:szCs w:val="11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1"/>
              </w:rPr>
              <w:t xml:space="preserve">لم</w:t>
            </w:r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color w:val="ff0000"/>
                <w:sz w:val="18"/>
                <w:szCs w:val="18"/>
                <w:u w:val="single"/>
                <w:rtl w:val="1"/>
              </w:rPr>
              <w:t xml:space="preserve">تعد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إعفاءات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PBE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مقبولة</w:t>
            </w:r>
          </w:p>
          <w:p w:rsidR="00000000" w:rsidDel="00000000" w:rsidP="00000000" w:rsidRDefault="00000000" w:rsidRPr="00000000" w14:paraId="0000006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bidi w:val="1"/>
              <w:jc w:val="center"/>
              <w:rPr>
                <w:b w:val="1"/>
                <w:bCs w:val="1"/>
                <w:color w:val="36609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الإعفاءات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66091"/>
                <w:sz w:val="18"/>
                <w:szCs w:val="18"/>
                <w:u w:val="single"/>
                <w:rtl w:val="1"/>
              </w:rPr>
              <w:t xml:space="preserve">الطبية</w:t>
            </w:r>
          </w:p>
          <w:p w:rsidR="00000000" w:rsidDel="00000000" w:rsidP="00000000" w:rsidRDefault="00000000" w:rsidRPr="00000000" w14:paraId="00000067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إذا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يتم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إعطاء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هذه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التطعيمات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لطفلك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لأسباب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طبية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يجب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عليك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جلب</w:t>
            </w:r>
          </w:p>
          <w:p w:rsidR="00000000" w:rsidDel="00000000" w:rsidP="00000000" w:rsidRDefault="00000000" w:rsidRPr="00000000" w14:paraId="00000069">
            <w:pPr>
              <w:bidi w:val="1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1"/>
              </w:rPr>
              <w:t xml:space="preserve">إعفاء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طبي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مؤقت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دائم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صادر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طريق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CAIR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ME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،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أكمله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وطبعه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طبيب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طفلك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MD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DO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مرخص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كاليفورنيا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) .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يجب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ألا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تتجاوز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الإعفاءات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الطبية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المؤقتة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اثني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عشر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شهر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ً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تقويمي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ً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تاريخ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البيان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المكتوب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للطبيب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1"/>
              </w:rPr>
              <w:t xml:space="preserve">المرخص</w:t>
            </w:r>
          </w:p>
          <w:p w:rsidR="00000000" w:rsidDel="00000000" w:rsidP="00000000" w:rsidRDefault="00000000" w:rsidRPr="00000000" w14:paraId="0000006A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32" w:top="43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Arabic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Rev. </w:t>
    </w:r>
    <w:r w:rsidDel="00000000" w:rsidR="00000000" w:rsidRPr="00000000">
      <w:rPr>
        <w:sz w:val="16"/>
        <w:szCs w:val="16"/>
        <w:rtl w:val="0"/>
      </w:rPr>
      <w:t xml:space="preserve">7/29/25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tabs>
        <w:tab w:val="center" w:leader="none" w:pos="4680"/>
        <w:tab w:val="right" w:leader="none" w:pos="9360"/>
        <w:tab w:val="center" w:leader="none" w:pos="5400"/>
        <w:tab w:val="left" w:leader="none" w:pos="8440"/>
      </w:tabs>
      <w:bidi w:val="1"/>
      <w:rPr>
        <w:b w:val="1"/>
        <w:bCs w:val="1"/>
        <w:sz w:val="26"/>
        <w:szCs w:val="26"/>
      </w:rPr>
    </w:pPr>
    <w:r w:rsidDel="00000000" w:rsidR="00000000" w:rsidRPr="00000000">
      <w:rPr>
        <w:b w:val="1"/>
        <w:bCs w:val="1"/>
        <w:sz w:val="26"/>
        <w:szCs w:val="26"/>
        <w:rtl w:val="1"/>
      </w:rPr>
      <w:t xml:space="preserve">متطلبات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التطعيم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في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كاليفورنيا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لمرحلة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ما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قبل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المدرسة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الروضة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-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الصف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الثاني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 </w:t>
    </w:r>
    <w:r w:rsidDel="00000000" w:rsidR="00000000" w:rsidRPr="00000000">
      <w:rPr>
        <w:b w:val="1"/>
        <w:bCs w:val="1"/>
        <w:sz w:val="26"/>
        <w:szCs w:val="26"/>
        <w:rtl w:val="1"/>
      </w:rPr>
      <w:t xml:space="preserve">عشر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-112782</wp:posOffset>
          </wp:positionH>
          <wp:positionV relativeFrom="paragraph">
            <wp:posOffset>-231136</wp:posOffset>
          </wp:positionV>
          <wp:extent cx="2299335" cy="379095"/>
          <wp:effectExtent b="0" l="0" r="0" t="0"/>
          <wp:wrapSquare wrapText="bothSides" distB="0" distT="0" distL="114300" distR="114300"/>
          <wp:docPr descr="A picture containing sitting, red&#10;&#10;Description automatically generated" id="225" name="image1.png"/>
          <a:graphic>
            <a:graphicData uri="http://schemas.openxmlformats.org/drawingml/2006/picture">
              <pic:pic>
                <pic:nvPicPr>
                  <pic:cNvPr descr="A picture containing sitting, red&#10;&#10;Description automatically generated" id="0" name="image1.png"/>
                  <pic:cNvPicPr preferRelativeResize="0"/>
                </pic:nvPicPr>
                <pic:blipFill>
                  <a:blip r:embed="rId1"/>
                  <a:srcRect b="0" l="1198" r="1197" t="0"/>
                  <a:stretch>
                    <a:fillRect/>
                  </a:stretch>
                </pic:blipFill>
                <pic:spPr>
                  <a:xfrm>
                    <a:off x="0" y="0"/>
                    <a:ext cx="2299335" cy="379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6299200</wp:posOffset>
              </wp:positionH>
              <wp:positionV relativeFrom="paragraph">
                <wp:posOffset>-355599</wp:posOffset>
              </wp:positionV>
              <wp:extent cx="647700" cy="311150"/>
              <wp:effectExtent b="0" l="0" r="0" t="0"/>
              <wp:wrapNone/>
              <wp:docPr id="2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1200" y="3643475"/>
                        <a:ext cx="6096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CH-5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6299200</wp:posOffset>
              </wp:positionH>
              <wp:positionV relativeFrom="paragraph">
                <wp:posOffset>-355599</wp:posOffset>
              </wp:positionV>
              <wp:extent cx="647700" cy="311150"/>
              <wp:effectExtent b="0" l="0" r="0" t="0"/>
              <wp:wrapNone/>
              <wp:docPr id="2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700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2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1200" y="3643475"/>
                        <a:ext cx="60960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CH-5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-355599</wp:posOffset>
              </wp:positionV>
              <wp:extent cx="638175" cy="301625"/>
              <wp:effectExtent b="0" l="0" r="0" t="0"/>
              <wp:wrapNone/>
              <wp:docPr id="2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301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-112783</wp:posOffset>
          </wp:positionH>
          <wp:positionV relativeFrom="paragraph">
            <wp:posOffset>-231137</wp:posOffset>
          </wp:positionV>
          <wp:extent cx="2299335" cy="379095"/>
          <wp:effectExtent b="0" l="0" r="0" t="0"/>
          <wp:wrapSquare wrapText="bothSides" distB="0" distT="0" distL="114300" distR="114300"/>
          <wp:docPr descr="A picture containing sitting, red&#10;&#10;Description automatically generated" id="226" name="image2.png"/>
          <a:graphic>
            <a:graphicData uri="http://schemas.openxmlformats.org/drawingml/2006/picture">
              <pic:pic>
                <pic:nvPicPr>
                  <pic:cNvPr descr="A picture containing sitting, red&#10;&#10;Description automatically generated" id="0" name="image2.png"/>
                  <pic:cNvPicPr preferRelativeResize="0"/>
                </pic:nvPicPr>
                <pic:blipFill>
                  <a:blip r:embed="rId1"/>
                  <a:srcRect b="0" l="1198" r="1198" t="0"/>
                  <a:stretch>
                    <a:fillRect/>
                  </a:stretch>
                </pic:blipFill>
                <pic:spPr>
                  <a:xfrm>
                    <a:off x="0" y="0"/>
                    <a:ext cx="2299335" cy="3790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5400"/>
        <w:tab w:val="left" w:leader="none" w:pos="8440"/>
      </w:tabs>
      <w:bidi w:val="1"/>
      <w:spacing w:after="0" w:before="0" w:line="240" w:lineRule="auto"/>
      <w:ind w:left="0" w:right="0" w:firstLine="0"/>
      <w:jc w:val="left"/>
      <w:rPr>
        <w:b w:val="1"/>
        <w:bCs w:val="1"/>
        <w:sz w:val="10"/>
        <w:szCs w:val="1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3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4">
    <w:lvl w:ilvl="0">
      <w:start w:val="3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06C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F34394"/>
  </w:style>
  <w:style w:type="paragraph" w:styleId="Footer">
    <w:name w:val="footer"/>
    <w:basedOn w:val="Normal"/>
    <w:link w:val="FooterChar"/>
    <w:uiPriority w:val="99"/>
    <w:unhideWhenUsed w:val="1"/>
    <w:rsid w:val="00F34394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F34394"/>
  </w:style>
  <w:style w:type="table" w:styleId="TableGrid">
    <w:name w:val="Table Grid"/>
    <w:basedOn w:val="TableNormal"/>
    <w:uiPriority w:val="39"/>
    <w:rsid w:val="00F34394"/>
    <w:pPr>
      <w:widowControl w:val="0"/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F34394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0254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0254B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406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406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406C0"/>
    <w:rPr>
      <w:color w:val="605e5c"/>
      <w:shd w:color="auto" w:fill="e1dfdd" w:val="clear"/>
    </w:rPr>
  </w:style>
  <w:style w:type="paragraph" w:styleId="Default" w:customStyle="1">
    <w:name w:val="Default"/>
    <w:rsid w:val="009F7A8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widowControl w:val="0"/>
    </w:p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3">
    <w:basedOn w:val="TableNormal"/>
    <w:pPr>
      <w:widowControl w:val="0"/>
    </w:p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+2HF//l3ztr3gesXK9i+EDyQQ==">CgMxLjA4AHIhMWRJT2EwQ2Vid0g2cTZhWkRjdGxSTEhNN1JxUTFpU1JD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2022-08-09T16:39:00Z</dcterms:created>
  <dc:creator>DelossantosB</dc:creator>
</cp:coreProperties>
</file>