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80" w:right="-450" w:firstLine="0"/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Las escuelas de California deben revisar los registros de vacunación antes de permitir la inscripción de los alumnos. Para que un alumno pueda inscribirse o asistir a la escuela, debe cumplir con los requisitos de inmunización vigentes. Estos mismos requisitos aplican también cuando un estudiante se transfiere a otra escuela o inicia Preescolar, Kínder Transicional, Kínder o 7.º grado.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80" w:right="-450" w:firstLine="0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right="-45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LO QUE USTED NECESITA: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 momento de la inscripción, necesitará presentar la tarjeta de vacunas que demuestre que su hijo(a) ha recibido todas las inmunizaciones requeridas. Estas son las formas de comprobante que se aceptan: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Registro de inmunizaciones de California.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Otro registro de vacunas, formulario o carta del médico con las fechas en que se aplicaron las vacunas a su hijo(a).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Como mínimo, el comprobante debe indicar el mes y el año de cada inmunización. Es posible que deba comunicarse con su médico o clínica para obtener esta información.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● Los análisis de anticuerpos (titers) no cumplen con este requisito y, por lo tanto, no pueden usarse como comprobante de inmunización.</w:t>
      </w:r>
    </w:p>
    <w:p w:rsidR="00000000" w:rsidDel="00000000" w:rsidP="00000000" w:rsidRDefault="00000000" w:rsidRPr="00000000" w14:paraId="0000000A">
      <w:pPr>
        <w:ind w:left="-180" w:right="-450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INMUNIZACIONES REQUERIDAS POR LA LEY ESTATAL:</w:t>
      </w:r>
    </w:p>
    <w:p w:rsidR="00000000" w:rsidDel="00000000" w:rsidP="00000000" w:rsidRDefault="00000000" w:rsidRPr="00000000" w14:paraId="0000000B">
      <w:pPr>
        <w:jc w:val="center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17.0" w:type="dxa"/>
        <w:jc w:val="left"/>
        <w:tblInd w:w="-3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7"/>
        <w:gridCol w:w="1350"/>
        <w:gridCol w:w="7830"/>
        <w:tblGridChange w:id="0">
          <w:tblGrid>
            <w:gridCol w:w="2137"/>
            <w:gridCol w:w="1350"/>
            <w:gridCol w:w="7830"/>
          </w:tblGrid>
        </w:tblGridChange>
      </w:tblGrid>
      <w:tr>
        <w:trPr>
          <w:cantSplit w:val="0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C">
            <w:pPr>
              <w:spacing w:line="216" w:lineRule="auto"/>
              <w:ind w:right="-109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INMUNIZACIONES</w:t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D">
            <w:pPr>
              <w:spacing w:line="216" w:lineRule="auto"/>
              <w:ind w:right="379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DOSIS</w:t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E">
            <w:pPr>
              <w:spacing w:line="216" w:lineRule="auto"/>
              <w:ind w:right="379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NOTAS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Polio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16" w:lineRule="auto"/>
              <w:ind w:right="37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dosis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2"/>
              </w:numPr>
              <w:ind w:left="360" w:right="-72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 vacunas orales contra la polio (OPV) aplicadas a partir del 1 de abril de 2016 ya no cuentan para los requisitos escolares.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360" w:right="-72"/>
              <w:rPr>
                <w:rFonts w:ascii="Noto Sans Symbols" w:cs="Noto Sans Symbols" w:eastAsia="Noto Sans Symbols" w:hAnsi="Noto Sans Symbol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aceptan 3 dosis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si una de ellas se aplicó en o después del 4.º cumpleaños.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DTaP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16" w:lineRule="auto"/>
              <w:ind w:right="379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dosis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360" w:right="37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Tdap o Td si el alumno tiene 7 años o más.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360" w:right="37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dosis aceptables si una de ellas se aplicó en O después del 4.º cumpleaños o para alumnos que ingresan a Preescolar.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360" w:right="37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dosis aceptables si la última se aplicó en o después del 7.º cumpleaños.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360" w:right="37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 menos una dosis debe ser Tdap o DTaP/DTP aplicada en o después del 7.º cumpleaños para todos los alumnos de 7.º a 12.º grado.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Hepatitis B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16" w:lineRule="auto"/>
              <w:ind w:left="10" w:right="-87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dosis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4"/>
              </w:numPr>
              <w:ind w:left="360" w:right="-86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se requiere para ingresar a 7.º grado.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MMR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14" w:right="-8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dosis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4"/>
              </w:numPr>
              <w:ind w:left="360" w:right="-72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Ambas dosis aplicadas en o después del 1.er cumpleaños.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4"/>
              </w:numPr>
              <w:ind w:left="360" w:right="-72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acepta 1 dosis para la inscripción en Preescolar.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Varicela </w:t>
            </w:r>
          </w:p>
          <w:p w:rsidR="00000000" w:rsidDel="00000000" w:rsidP="00000000" w:rsidRDefault="00000000" w:rsidRPr="00000000" w14:paraId="00000021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16" w:lineRule="auto"/>
              <w:ind w:left="10" w:right="-87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dosis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4"/>
              </w:numPr>
              <w:spacing w:line="216" w:lineRule="auto"/>
              <w:ind w:left="360" w:right="-7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 historial de la enfermedad NO es suficiente para eximir esta inmunización.</w:t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4"/>
              </w:numPr>
              <w:ind w:left="360" w:right="-72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requiere una Exención Médica Permanente para la(s) inmunización(es) (CAIR-ME).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4"/>
              </w:numPr>
              <w:ind w:left="360" w:right="-72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acepta 1 dosis para la inscripción en Preescolar.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Tdap (Para 7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/8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grado)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16" w:lineRule="auto"/>
              <w:ind w:left="10" w:right="-87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dosis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1"/>
              </w:numPr>
              <w:ind w:left="360" w:right="-72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DTP/DTaP aplicada en o después del 7.º cumpleaños.</w:t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Hib </w:t>
            </w:r>
          </w:p>
          <w:p w:rsidR="00000000" w:rsidDel="00000000" w:rsidP="00000000" w:rsidRDefault="00000000" w:rsidRPr="00000000" w14:paraId="0000002A">
            <w:pPr>
              <w:spacing w:line="216" w:lineRule="auto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(Para cuidado de niños/preescolar solamente)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16" w:lineRule="auto"/>
              <w:ind w:right="-7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dosis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1"/>
              </w:numPr>
              <w:ind w:left="360" w:right="-72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Una dosis debe aplicarse en o después del 1.er cumpleaños. 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1"/>
              </w:numPr>
              <w:ind w:left="360" w:right="-72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aceptan 2 dosis si el niño tiene menos de 14 meses.</w:t>
            </w:r>
          </w:p>
        </w:tc>
      </w:tr>
    </w:tbl>
    <w:p w:rsidR="00000000" w:rsidDel="00000000" w:rsidP="00000000" w:rsidRDefault="00000000" w:rsidRPr="00000000" w14:paraId="0000002E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10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5565"/>
        <w:tblGridChange w:id="0">
          <w:tblGrid>
            <w:gridCol w:w="5745"/>
            <w:gridCol w:w="5565"/>
          </w:tblGrid>
        </w:tblGridChange>
      </w:tblGrid>
      <w:tr>
        <w:trPr>
          <w:cantSplit w:val="0"/>
          <w:trHeight w:val="48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5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200"/>
              <w:gridCol w:w="2175"/>
              <w:gridCol w:w="2160"/>
              <w:tblGridChange w:id="0">
                <w:tblGrid>
                  <w:gridCol w:w="1200"/>
                  <w:gridCol w:w="2175"/>
                  <w:gridCol w:w="2160"/>
                </w:tblGrid>
              </w:tblGridChange>
            </w:tblGrid>
            <w:tr>
              <w:trPr>
                <w:cantSplit w:val="0"/>
                <w:trHeight w:val="333" w:hRule="atLeast"/>
                <w:tblHeader w:val="0"/>
              </w:trPr>
              <w:tc>
                <w:tcPr>
                  <w:tcBorders>
                    <w:bottom w:color="000000" w:space="0" w:sz="6" w:val="single"/>
                  </w:tcBorders>
                  <w:shd w:fill="0b5394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b w:val="1"/>
                      <w:bCs w:val="1"/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0"/>
                    </w:rPr>
                    <w:t xml:space="preserve">DOSIS</w:t>
                  </w:r>
                </w:p>
              </w:tc>
              <w:tc>
                <w:tcPr>
                  <w:gridSpan w:val="2"/>
                  <w:tcBorders>
                    <w:bottom w:color="000000" w:space="0" w:sz="6" w:val="single"/>
                  </w:tcBorders>
                  <w:shd w:fill="0b5394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b w:val="1"/>
                      <w:bCs w:val="1"/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0"/>
                    </w:rPr>
                    <w:t xml:space="preserve">EXCLUIR SI NO SE APLICA</w:t>
                  </w:r>
                </w:p>
              </w:tc>
            </w:tr>
            <w:tr>
              <w:trPr>
                <w:cantSplit w:val="0"/>
                <w:trHeight w:val="253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Polio #2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4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 semanas después de la 1.ª dosis</w:t>
                  </w:r>
                </w:p>
              </w:tc>
            </w:tr>
            <w:tr>
              <w:trPr>
                <w:cantSplit w:val="0"/>
                <w:trHeight w:val="208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Polio #3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7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12 meses después de la 2.ª dosis</w:t>
                  </w:r>
                </w:p>
              </w:tc>
            </w:tr>
            <w:tr>
              <w:trPr>
                <w:cantSplit w:val="0"/>
                <w:trHeight w:val="223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Polio #4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A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12 meses después de la 3.ª dosis</w:t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DTaP #2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D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 semanas después de la 1.ª dosis</w:t>
                  </w:r>
                </w:p>
              </w:tc>
            </w:tr>
            <w:tr>
              <w:trPr>
                <w:cantSplit w:val="0"/>
                <w:trHeight w:val="223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DTaP #3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0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 semanas después de la 2.ª dosis</w:t>
                  </w:r>
                </w:p>
              </w:tc>
            </w:tr>
            <w:tr>
              <w:trPr>
                <w:cantSplit w:val="0"/>
                <w:trHeight w:val="268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DTaP #4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3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12 meses después de la 3.ª dosis</w:t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5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DTaP #5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6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12 meses después de la 4.ª dosis</w:t>
                  </w:r>
                </w:p>
              </w:tc>
            </w:tr>
            <w:tr>
              <w:trPr>
                <w:cantSplit w:val="0"/>
                <w:trHeight w:val="268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8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Hep B #2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9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 semanas después de la 1.ª dosis</w:t>
                  </w:r>
                </w:p>
              </w:tc>
            </w:tr>
            <w:tr>
              <w:trPr>
                <w:cantSplit w:val="1"/>
                <w:trHeight w:val="461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Hep B #3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4C">
                  <w:pPr>
                    <w:ind w:left="-12000" w:right="-12000" w:firstLine="0"/>
                    <w:jc w:val="center"/>
                    <w:rPr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12 meses después de la 2.ª dosis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ind w:left="-12000" w:right="-120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y al menos 4 meses después de la 1.ª dosis</w:t>
                  </w:r>
                </w:p>
              </w:tc>
            </w:tr>
            <w:tr>
              <w:trPr>
                <w:cantSplit w:val="1"/>
                <w:trHeight w:val="285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MMR #2</w:t>
                  </w:r>
                </w:p>
              </w:tc>
              <w:tc>
                <w:tcPr>
                  <w:gridSpan w:val="2"/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    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 meses después de la 1.ª dosis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Varicela #2</w:t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 meses después de la 1.ª dosis</w:t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 semanas después de la 1.ª dosis</w:t>
                  </w:r>
                </w:p>
              </w:tc>
            </w:tr>
            <w:tr>
              <w:trPr>
                <w:cantSplit w:val="0"/>
                <w:trHeight w:val="28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color w:val="0070c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0070c0"/>
                      <w:sz w:val="18"/>
                      <w:szCs w:val="18"/>
                      <w:rtl w:val="0"/>
                    </w:rPr>
                    <w:t xml:space="preserve">&lt;13 años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40.0" w:type="dxa"/>
                    <w:left w:w="40.0" w:type="dxa"/>
                    <w:bottom w:w="40.0" w:type="dxa"/>
                    <w:right w:w="40.0" w:type="dxa"/>
                  </w:tcMar>
                  <w:vAlign w:val="bottom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color w:val="0070c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0070c0"/>
                      <w:sz w:val="18"/>
                      <w:szCs w:val="18"/>
                      <w:rtl w:val="0"/>
                    </w:rPr>
                    <w:t xml:space="preserve">&gt;13 años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¿Ha recibido su hijo(a) todas las vacunas requeridas? Si no es así, por favor haga una cita con su médico o con la clínica de vacunación del Departamento de Salud Pública del Condado de San Diego. Lleve los registros de vacunación a la cita.</w:t>
              <w:br w:type="textWrapping"/>
              <w:t xml:space="preserve">Si las vacunas de su hijo(a) no están al día al comenzar la escuela, por ley no podrá asistir a clases.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color w:val="36609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color w:val="1f497d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1f497d"/>
                <w:sz w:val="17"/>
                <w:szCs w:val="17"/>
                <w:u w:val="single"/>
                <w:rtl w:val="0"/>
              </w:rPr>
              <w:t xml:space="preserve">Programa de Admisión Condicional para los grados EAK/TK/K-12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Antes de ser admitido, el estudiante debe haber recibido la primera dosis de cada vacuna requerida y cualquier otra dosis que corresponda dentro del período permitido antes de que se le excluya de la escuela.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color w:val="1f497d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1f497d"/>
                <w:sz w:val="17"/>
                <w:szCs w:val="17"/>
                <w:u w:val="single"/>
                <w:rtl w:val="0"/>
              </w:rPr>
              <w:t xml:space="preserve">Exenciones por Creencias Personales </w:t>
            </w:r>
            <w:r w:rsidDel="00000000" w:rsidR="00000000" w:rsidRPr="00000000">
              <w:rPr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(PBE, por sus siglas en inglés)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Ya </w:t>
            </w:r>
            <w:r w:rsidDel="00000000" w:rsidR="00000000" w:rsidRPr="00000000">
              <w:rPr>
                <w:b w:val="1"/>
                <w:bCs w:val="1"/>
                <w:color w:val="ff0000"/>
                <w:sz w:val="17"/>
                <w:szCs w:val="17"/>
                <w:u w:val="single"/>
                <w:rtl w:val="0"/>
              </w:rPr>
              <w:t xml:space="preserve">NO</w:t>
            </w:r>
            <w:r w:rsidDel="00000000" w:rsidR="00000000" w:rsidRPr="00000000">
              <w:rPr>
                <w:color w:val="ff0000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se aceptan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exenciones por creencias personales.</w:t>
            </w:r>
          </w:p>
          <w:p w:rsidR="00000000" w:rsidDel="00000000" w:rsidP="00000000" w:rsidRDefault="00000000" w:rsidRPr="00000000" w14:paraId="0000006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366091"/>
                <w:sz w:val="17"/>
                <w:szCs w:val="17"/>
                <w:u w:val="single"/>
                <w:rtl w:val="0"/>
              </w:rPr>
              <w:t xml:space="preserve">Exenciones Médicas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Una exención médica (temporal o permanente) debe ser emitida a través del sistema CAIR-ME, completada e impresa por el médico de su hijo(a) (MD o DO con licencia en California), en caso de que alguna de las vacunas no se le haya aplicado por razones médicas.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1"/>
                <w:numId w:val="3"/>
              </w:numPr>
              <w:ind w:left="740" w:hanging="20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 exenciones médicas temporales no deben exceder los doce meses calendario a partir de la fecha en que el médico con licencia emita la declaración por escrito.</w:t>
            </w:r>
          </w:p>
        </w:tc>
      </w:tr>
    </w:tbl>
    <w:p w:rsidR="00000000" w:rsidDel="00000000" w:rsidP="00000000" w:rsidRDefault="00000000" w:rsidRPr="00000000" w14:paraId="00000065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Spanish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Rev. </w:t>
    </w:r>
    <w:r w:rsidDel="00000000" w:rsidR="00000000" w:rsidRPr="00000000">
      <w:rPr>
        <w:sz w:val="16"/>
        <w:szCs w:val="16"/>
        <w:rtl w:val="0"/>
      </w:rPr>
      <w:t xml:space="preserve">7/31/25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8440"/>
      </w:tabs>
      <w:spacing w:after="0" w:before="0" w:line="240" w:lineRule="auto"/>
      <w:ind w:left="0" w:right="0" w:firstLine="0"/>
      <w:jc w:val="left"/>
      <w:rPr>
        <w:b w:val="1"/>
        <w:bCs w:val="1"/>
        <w:sz w:val="22"/>
        <w:szCs w:val="22"/>
      </w:rPr>
    </w:pPr>
    <w:r w:rsidDel="00000000" w:rsidR="00000000" w:rsidRPr="00000000">
      <w:rPr>
        <w:b w:val="1"/>
        <w:bCs w:val="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228600</wp:posOffset>
          </wp:positionV>
          <wp:extent cx="2152055" cy="357188"/>
          <wp:effectExtent b="0" l="0" r="0" t="0"/>
          <wp:wrapSquare wrapText="bothSides" distB="0" distT="0" distL="114300" distR="114300"/>
          <wp:docPr descr="A picture containing sitting, red&#10;&#10;Description automatically generated" id="224" name="image1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1.png"/>
                  <pic:cNvPicPr preferRelativeResize="0"/>
                </pic:nvPicPr>
                <pic:blipFill>
                  <a:blip r:embed="rId1"/>
                  <a:srcRect b="0" l="1523" r="1523" t="0"/>
                  <a:stretch>
                    <a:fillRect/>
                  </a:stretch>
                </pic:blipFill>
                <pic:spPr>
                  <a:xfrm>
                    <a:off x="0" y="0"/>
                    <a:ext cx="2152055" cy="3571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22"/>
        <w:szCs w:val="22"/>
        <w:rtl w:val="0"/>
      </w:rPr>
      <w:t xml:space="preserve">Requisitos de vacunación en California para preescolar a 12.º grado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2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2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bullet"/>
      <w:lvlText w:val="·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·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·"/>
      <w:lvlJc w:val="right"/>
      <w:pPr>
        <w:ind w:left="2160" w:hanging="180"/>
      </w:pPr>
      <w:rPr>
        <w:u w:val="none"/>
      </w:rPr>
    </w:lvl>
    <w:lvl w:ilvl="3">
      <w:start w:val="1"/>
      <w:numFmt w:val="bullet"/>
      <w:lvlText w:val="·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·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·"/>
      <w:lvlJc w:val="right"/>
      <w:pPr>
        <w:ind w:left="4320" w:hanging="180"/>
      </w:pPr>
      <w:rPr>
        <w:u w:val="none"/>
      </w:rPr>
    </w:lvl>
    <w:lvl w:ilvl="6">
      <w:start w:val="1"/>
      <w:numFmt w:val="bullet"/>
      <w:lvlText w:val="·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·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·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06C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F34394"/>
  </w:style>
  <w:style w:type="paragraph" w:styleId="Footer">
    <w:name w:val="footer"/>
    <w:basedOn w:val="Normal"/>
    <w:link w:val="Foot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F34394"/>
  </w:style>
  <w:style w:type="table" w:styleId="TableGrid">
    <w:name w:val="Table Grid"/>
    <w:basedOn w:val="TableNormal"/>
    <w:uiPriority w:val="39"/>
    <w:rsid w:val="00F34394"/>
    <w:pPr>
      <w:widowControl w:val="0"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34394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0254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0254B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406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406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6C0"/>
    <w:rPr>
      <w:color w:val="605e5c"/>
      <w:shd w:color="auto" w:fill="e1dfdd" w:val="clear"/>
    </w:rPr>
  </w:style>
  <w:style w:type="paragraph" w:styleId="Default" w:customStyle="1">
    <w:name w:val="Default"/>
    <w:rsid w:val="009F7A8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29.0" w:type="dxa"/>
        <w:left w:w="58.0" w:type="dxa"/>
        <w:bottom w:w="29.0" w:type="dxa"/>
        <w:right w:w="5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</w:tblPr>
  </w:style>
  <w:style w:type="table" w:styleId="Table3">
    <w:basedOn w:val="TableNormal"/>
    <w:pPr>
      <w:widowControl w:val="0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3tld0Wf6ynK2CQ7uNH1xpxmoA==">CgMxLjA4AGoqChRzdWdnZXN0Lm0zcnlvZmJtaDI3OBISS2VuZHJhIE1hZ2FuYSAoU0IpciExOWpzaGxWdkJKOXd1cC1zZXRiOTk1NEZNdVVrUlZLeUE=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2022-08-09T16:39:00Z</dcterms:created>
  <dc:creator>DelossantosB</dc:creator>
</cp:coreProperties>
</file>