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Policy Committee Agenda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April 28 2026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5:30 pm via Zoom</w:t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83700" y="3756188"/>
                          <a:ext cx="6324600" cy="47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99377</wp:posOffset>
                </wp:positionV>
                <wp:extent cx="6334125" cy="571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Members Present: Dave Livengood, Heidi Goldsmith, Sarah Bieber, Craig Robinson, and Wendy Sigourney</w:t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sz w:val="32"/>
          <w:szCs w:val="32"/>
          <w:rtl w:val="0"/>
        </w:rPr>
        <w:t xml:space="preserve">Confirmed 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following policies are ready for </w:t>
      </w:r>
      <w:r w:rsidDel="00000000" w:rsidR="00000000" w:rsidRPr="00000000">
        <w:rPr>
          <w:sz w:val="32"/>
          <w:szCs w:val="32"/>
          <w:rtl w:val="0"/>
        </w:rPr>
        <w:t xml:space="preserve">the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read.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240"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204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Attendance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="276" w:lineRule="auto"/>
        <w:ind w:left="720" w:hanging="36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209.2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Diabetes Management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222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Tobacco and Vaping Products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223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Use of Motor Vehicles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224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Care of Center Property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226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Searches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227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Controlled Substances - Paraphernalia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228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Student Government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229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Student Fundraising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76" w:lineRule="auto"/>
        <w:ind w:left="720" w:hanging="360"/>
        <w:jc w:val="left"/>
        <w:rPr>
          <w:rFonts w:ascii="Arial" w:cs="Arial" w:eastAsia="Arial" w:hAnsi="Arial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Policy 230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- Public Performances by Students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-90" w:hanging="360"/>
        <w:jc w:val="lef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Confirmed that</w:t>
      </w:r>
      <w:r w:rsidDel="00000000" w:rsidR="00000000" w:rsidRPr="00000000">
        <w:rPr>
          <w:sz w:val="32"/>
          <w:szCs w:val="32"/>
          <w:rtl w:val="0"/>
        </w:rPr>
        <w:t xml:space="preserve"> the following policies for the 1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st</w:t>
      </w:r>
      <w:r w:rsidDel="00000000" w:rsidR="00000000" w:rsidRPr="00000000">
        <w:rPr>
          <w:sz w:val="32"/>
          <w:szCs w:val="32"/>
          <w:rtl w:val="0"/>
        </w:rPr>
        <w:t xml:space="preserve"> read.</w:t>
      </w:r>
    </w:p>
    <w:p w:rsidR="00000000" w:rsidDel="00000000" w:rsidP="00000000" w:rsidRDefault="00000000" w:rsidRPr="00000000" w14:paraId="0000001A">
      <w:pPr>
        <w:ind w:left="3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line="276" w:lineRule="auto"/>
        <w:ind w:left="36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Social Events and Class Trips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line="276" w:lineRule="auto"/>
        <w:ind w:left="36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232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Student Involvement in Decision Making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line="276" w:lineRule="auto"/>
        <w:ind w:left="36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235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Student Rights and Responsibilities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line="276" w:lineRule="auto"/>
        <w:ind w:left="360" w:firstLine="0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235.1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- Surveys</w:t>
      </w:r>
    </w:p>
    <w:p w:rsidR="00000000" w:rsidDel="00000000" w:rsidP="00000000" w:rsidRDefault="00000000" w:rsidRPr="00000000" w14:paraId="0000001F">
      <w:pPr>
        <w:spacing w:line="276" w:lineRule="auto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233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was reviewed, and it was recommended that we have the lawyer review this for us.</w:t>
      </w:r>
    </w:p>
    <w:p w:rsidR="00000000" w:rsidDel="00000000" w:rsidP="00000000" w:rsidRDefault="00000000" w:rsidRPr="00000000" w14:paraId="00000021">
      <w:pPr>
        <w:spacing w:line="276" w:lineRule="auto"/>
        <w:jc w:val="left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left"/>
        <w:rPr>
          <w:rFonts w:ascii="Arial" w:cs="Arial" w:eastAsia="Arial" w:hAnsi="Arial"/>
          <w:sz w:val="24"/>
          <w:szCs w:val="24"/>
          <w:highlight w:val="white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Policy 234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 was removed since it was last updated and approved in February.</w:t>
      </w:r>
    </w:p>
    <w:p w:rsidR="00000000" w:rsidDel="00000000" w:rsidP="00000000" w:rsidRDefault="00000000" w:rsidRPr="00000000" w14:paraId="00000023">
      <w:pPr>
        <w:spacing w:line="276" w:lineRule="auto"/>
        <w:ind w:left="144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2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0" distT="0" distL="0" distR="0">
          <wp:extent cx="1195388" cy="993569"/>
          <wp:effectExtent b="0" l="0" r="0" t="0"/>
          <wp:docPr descr="A close-up of a logo&#10;&#10;Description automatically generated" id="2" name="image1.png"/>
          <a:graphic>
            <a:graphicData uri="http://schemas.openxmlformats.org/drawingml/2006/picture">
              <pic:pic>
                <pic:nvPicPr>
                  <pic:cNvPr descr="A close-up of a 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9935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RfqBYCcmcJul8DOokuHEleOqQCkI8aPFlPVWSeT8Y4Q/edit?usp=drive_link" TargetMode="External"/><Relationship Id="rId11" Type="http://schemas.openxmlformats.org/officeDocument/2006/relationships/hyperlink" Target="https://docs.google.com/document/d/1o462XkPgX-OZYx_GSFMygp5LRk4JG_dg-dahkdLZLOI/edit?usp=sharing" TargetMode="External"/><Relationship Id="rId22" Type="http://schemas.openxmlformats.org/officeDocument/2006/relationships/hyperlink" Target="https://docs.google.com/document/d/1g2J6XW8uI-__TVV-wSHz6Av57r140Hb3/edit?usp=sharing&amp;ouid=100534056565844812064&amp;rtpof=true&amp;sd=true" TargetMode="External"/><Relationship Id="rId10" Type="http://schemas.openxmlformats.org/officeDocument/2006/relationships/hyperlink" Target="https://docs.google.com/document/d/1n-1RkeDocGtERkbpeRlp8PjGT1BT871R7XQxIKIXQgA/edit?usp=sharing" TargetMode="External"/><Relationship Id="rId21" Type="http://schemas.openxmlformats.org/officeDocument/2006/relationships/hyperlink" Target="https://docs.google.com/document/d/1TWebpuOx95UwZl3cSWBjIH7V8yc0hc7L6aaHyIFOSoc/edit?usp=sharing" TargetMode="External"/><Relationship Id="rId13" Type="http://schemas.openxmlformats.org/officeDocument/2006/relationships/hyperlink" Target="https://docs.google.com/document/d/1CuANApKm5Y2L2M12tO7KxgExf7hlG8-_R4F8gvwyVDw/edit?usp=sharing" TargetMode="External"/><Relationship Id="rId12" Type="http://schemas.openxmlformats.org/officeDocument/2006/relationships/hyperlink" Target="https://docs.google.com/document/d/1Rsc175Q1QbLfgsOIb1cJV6c74MNsCRvmYzR5pWzHlYc/edit?usp=sharing" TargetMode="Externa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JOx7Wh_SIcllytFtce5TiMyPqcBN6OPtSJlgvhjHpLA/edit?usp=sharing" TargetMode="External"/><Relationship Id="rId15" Type="http://schemas.openxmlformats.org/officeDocument/2006/relationships/hyperlink" Target="https://docs.google.com/document/d/17QUiM_AK1ShqdnEcYaV_ca3sydggenvJI5TNa8OZ92Y/edit?usp=sharing" TargetMode="External"/><Relationship Id="rId14" Type="http://schemas.openxmlformats.org/officeDocument/2006/relationships/hyperlink" Target="https://docs.google.com/document/d/1xuqyzEk63ILwRjqZ-Qun2H8BrlnHWP8cVr2pqSbCot4/edit?usp=sharing" TargetMode="External"/><Relationship Id="rId17" Type="http://schemas.openxmlformats.org/officeDocument/2006/relationships/hyperlink" Target="https://docs.google.com/document/d/16z5fwygq0H8HNzFRd_KsyzVryY5i1MYQKnk0gTRsgt4/edit?usp=drive_link" TargetMode="External"/><Relationship Id="rId16" Type="http://schemas.openxmlformats.org/officeDocument/2006/relationships/hyperlink" Target="https://docs.google.com/document/d/1Tc0WMCfHhfWZcUHMI6fEi1eYVXucaKULxSxkDWXRQ0w/edit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document/d/1eRYBP1GQubEdHOXQCAuU2NMXiYvSgjat6aoOa5j5llw/edit?usp=drive_link" TargetMode="External"/><Relationship Id="rId6" Type="http://schemas.openxmlformats.org/officeDocument/2006/relationships/image" Target="media/image2.png"/><Relationship Id="rId18" Type="http://schemas.openxmlformats.org/officeDocument/2006/relationships/hyperlink" Target="https://docs.google.com/document/d/1MTWPWhTA5BgapTS3--Bkqr6qTcIPly1ec6Lz0OnneIg/edit?usp=drive_link" TargetMode="External"/><Relationship Id="rId7" Type="http://schemas.openxmlformats.org/officeDocument/2006/relationships/hyperlink" Target="https://docs.google.com/document/d/1e9N1OH8J6XS8sqrGjpSh0oaWOYecRavO/edit?usp=sharing&amp;ouid=100534056565844812064&amp;rtpof=true&amp;sd=true" TargetMode="External"/><Relationship Id="rId8" Type="http://schemas.openxmlformats.org/officeDocument/2006/relationships/hyperlink" Target="https://docs.google.com/document/d/1cUCoOErYy1C-IhGv1RN1Q0I9TtXUPD_kAQ9CybAiWEw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