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FAC2" w14:textId="77777777" w:rsidR="00E8337B" w:rsidRDefault="00E8337B" w:rsidP="00003D99">
      <w:pPr>
        <w:jc w:val="both"/>
        <w:rPr>
          <w:sz w:val="23"/>
          <w:szCs w:val="23"/>
        </w:rPr>
      </w:pPr>
      <w:r>
        <w:rPr>
          <w:sz w:val="23"/>
          <w:szCs w:val="23"/>
          <w:u w:val="single"/>
        </w:rPr>
        <w:t>Personnel</w:t>
      </w:r>
    </w:p>
    <w:p w14:paraId="2FD9B939" w14:textId="77777777" w:rsidR="00003D99" w:rsidRDefault="00003D99" w:rsidP="00003D99">
      <w:pPr>
        <w:jc w:val="both"/>
        <w:rPr>
          <w:sz w:val="23"/>
          <w:szCs w:val="23"/>
        </w:rPr>
      </w:pPr>
    </w:p>
    <w:p w14:paraId="4EA383E4" w14:textId="77777777" w:rsidR="00003D99" w:rsidRDefault="00003D99" w:rsidP="00003D99">
      <w:pPr>
        <w:jc w:val="both"/>
        <w:rPr>
          <w:sz w:val="23"/>
          <w:szCs w:val="23"/>
        </w:rPr>
      </w:pPr>
      <w:r>
        <w:rPr>
          <w:sz w:val="23"/>
          <w:szCs w:val="23"/>
          <w:u w:val="single"/>
        </w:rPr>
        <w:t>Professional Growth</w:t>
      </w:r>
    </w:p>
    <w:p w14:paraId="7207A6E7" w14:textId="77777777" w:rsidR="00003D99" w:rsidRDefault="00003D99" w:rsidP="00003D99">
      <w:pPr>
        <w:jc w:val="both"/>
        <w:rPr>
          <w:sz w:val="23"/>
          <w:szCs w:val="23"/>
        </w:rPr>
      </w:pPr>
    </w:p>
    <w:p w14:paraId="2A9AED65" w14:textId="77777777" w:rsidR="00003D99" w:rsidRDefault="00003D99" w:rsidP="00003D99">
      <w:pPr>
        <w:jc w:val="both"/>
        <w:rPr>
          <w:sz w:val="23"/>
          <w:szCs w:val="23"/>
        </w:rPr>
      </w:pPr>
      <w:r>
        <w:rPr>
          <w:sz w:val="23"/>
          <w:szCs w:val="23"/>
          <w:u w:val="single"/>
        </w:rPr>
        <w:t>Required Professional Growth Activities</w:t>
      </w:r>
    </w:p>
    <w:p w14:paraId="149210BD" w14:textId="77777777" w:rsidR="00003D99" w:rsidRDefault="00003D99" w:rsidP="00003D99">
      <w:pPr>
        <w:jc w:val="both"/>
        <w:rPr>
          <w:sz w:val="23"/>
          <w:szCs w:val="23"/>
        </w:rPr>
      </w:pPr>
    </w:p>
    <w:p w14:paraId="4298DC5B" w14:textId="77777777" w:rsidR="00003D99" w:rsidRDefault="00003D99" w:rsidP="00003D99">
      <w:pPr>
        <w:spacing w:line="240" w:lineRule="exact"/>
        <w:ind w:right="144"/>
        <w:jc w:val="both"/>
        <w:rPr>
          <w:sz w:val="23"/>
          <w:szCs w:val="23"/>
        </w:rPr>
      </w:pPr>
      <w:r>
        <w:rPr>
          <w:sz w:val="23"/>
          <w:szCs w:val="23"/>
        </w:rPr>
        <w:t>Every six years, the teachers in the Plattsmouth Community Schools system shall give evidence of professional growth as is approved by the Board in order to remain eligible for continued employment.  Educational travel, professional publications, work on educational committees, college work, or such other activity approved by the Board may be accepted as evidence of  "professional growth.”</w:t>
      </w:r>
    </w:p>
    <w:p w14:paraId="7D4A63A6" w14:textId="77777777" w:rsidR="00003D99" w:rsidRDefault="00003D99" w:rsidP="00003D99">
      <w:pPr>
        <w:jc w:val="both"/>
        <w:rPr>
          <w:sz w:val="23"/>
          <w:szCs w:val="23"/>
        </w:rPr>
      </w:pPr>
    </w:p>
    <w:p w14:paraId="29DDDA48" w14:textId="77777777" w:rsidR="00003D99" w:rsidRDefault="00003D99" w:rsidP="00003D99">
      <w:pPr>
        <w:spacing w:line="240" w:lineRule="exact"/>
        <w:ind w:left="720"/>
        <w:jc w:val="both"/>
        <w:rPr>
          <w:sz w:val="23"/>
          <w:szCs w:val="23"/>
        </w:rPr>
      </w:pPr>
      <w:r>
        <w:rPr>
          <w:sz w:val="23"/>
          <w:szCs w:val="23"/>
          <w:u w:val="single"/>
        </w:rPr>
        <w:t>Professional Growth Period</w:t>
      </w:r>
      <w:r>
        <w:rPr>
          <w:sz w:val="23"/>
          <w:szCs w:val="23"/>
        </w:rPr>
        <w:t xml:space="preserve"> - This refers to each six-year period during which teachers are required to give evidence of professional growth. A tenured teacher, upon employment on September 1, begins his/her initial six year growth period at that time, and end it on August 31, six years later. The beginning of the seventh year starts the second six year period.</w:t>
      </w:r>
    </w:p>
    <w:p w14:paraId="3F0BC31D" w14:textId="77777777" w:rsidR="00003D99" w:rsidRDefault="00003D99" w:rsidP="00003D99">
      <w:pPr>
        <w:jc w:val="both"/>
        <w:rPr>
          <w:sz w:val="23"/>
          <w:szCs w:val="23"/>
        </w:rPr>
      </w:pPr>
    </w:p>
    <w:p w14:paraId="414909E6" w14:textId="77777777" w:rsidR="00003D99" w:rsidRDefault="00003D99" w:rsidP="00003D99">
      <w:pPr>
        <w:spacing w:line="240" w:lineRule="exact"/>
        <w:ind w:left="720"/>
        <w:jc w:val="both"/>
        <w:rPr>
          <w:sz w:val="23"/>
          <w:szCs w:val="23"/>
        </w:rPr>
      </w:pPr>
      <w:r>
        <w:rPr>
          <w:sz w:val="23"/>
          <w:szCs w:val="23"/>
          <w:u w:val="single"/>
        </w:rPr>
        <w:t>Professional Growth Points</w:t>
      </w:r>
      <w:r>
        <w:rPr>
          <w:sz w:val="23"/>
          <w:szCs w:val="23"/>
        </w:rPr>
        <w:t xml:space="preserve"> - All teachers must earn a total of 24 professional growth points during each professional growth period. Each activity of professional growth has its own criteria for acceptance and evaluation. It is the individual teacher's responsibility to show that the activity did actually contribute to his/her professional development and to their increased effectiveness in the capacity in which he/she is employed. The requirement of proof may be accomplished in a variety of ways such as: written reports, AV presentations, grade transcripts, etc.</w:t>
      </w:r>
    </w:p>
    <w:p w14:paraId="2A0D98A5" w14:textId="77777777" w:rsidR="00003D99" w:rsidRDefault="00003D99" w:rsidP="00003D99">
      <w:pPr>
        <w:jc w:val="both"/>
        <w:rPr>
          <w:sz w:val="23"/>
          <w:szCs w:val="23"/>
        </w:rPr>
      </w:pPr>
    </w:p>
    <w:p w14:paraId="66A5AE7B" w14:textId="77777777" w:rsidR="00003D99" w:rsidRDefault="00003D99" w:rsidP="00003D99">
      <w:pPr>
        <w:spacing w:line="240" w:lineRule="exact"/>
        <w:ind w:left="720" w:right="144"/>
        <w:rPr>
          <w:sz w:val="23"/>
          <w:szCs w:val="23"/>
        </w:rPr>
      </w:pPr>
      <w:r>
        <w:rPr>
          <w:sz w:val="23"/>
          <w:szCs w:val="23"/>
          <w:u w:val="single"/>
        </w:rPr>
        <w:t>Procedures for Applying for Growth Credit</w:t>
      </w:r>
      <w:r>
        <w:rPr>
          <w:sz w:val="23"/>
          <w:szCs w:val="23"/>
        </w:rPr>
        <w:t xml:space="preserve"> - Application for accreditment of professional growth activities and college credit shall be made on forms prescribed by the Professional Growth Committee. A separate application shall be submitted for each activity for which growth points are requested. Application shall be initiated by the person requesting credit. Any activity not clearly defined as a possibility for professional growth must have preliminary approval before participation by the Superintendent and Principal. The application, together with substantiating evidence that the work has been completed, shall be given to the Principal's office. After the Professional Growth Committee has considered the application, then reviewed and signed by the Superintendent, notice will be sent to the applicant of the approval or non-approval. After all the parties have taken action, the application will be filed in the applicant's personnel file. Teachers may earn more than twenty-four professional growth points in a six-year period and have these recorded on their record if they so request this to the Superintendent/or Principal.</w:t>
      </w:r>
    </w:p>
    <w:p w14:paraId="7D239BE4" w14:textId="77777777" w:rsidR="00003D99" w:rsidRDefault="00003D99" w:rsidP="00003D99">
      <w:pPr>
        <w:jc w:val="both"/>
        <w:rPr>
          <w:sz w:val="23"/>
          <w:szCs w:val="23"/>
        </w:rPr>
      </w:pPr>
    </w:p>
    <w:p w14:paraId="5A2079A8" w14:textId="77777777" w:rsidR="00003D99" w:rsidRDefault="00003D99" w:rsidP="00003D99">
      <w:pPr>
        <w:spacing w:after="396" w:line="240" w:lineRule="exact"/>
        <w:ind w:left="720" w:right="144"/>
        <w:jc w:val="both"/>
        <w:rPr>
          <w:sz w:val="23"/>
          <w:szCs w:val="23"/>
        </w:rPr>
      </w:pPr>
      <w:r>
        <w:rPr>
          <w:sz w:val="23"/>
          <w:szCs w:val="23"/>
          <w:u w:val="single"/>
        </w:rPr>
        <w:t>Classification of Activities</w:t>
      </w:r>
      <w:r>
        <w:rPr>
          <w:sz w:val="23"/>
          <w:szCs w:val="23"/>
        </w:rPr>
        <w:t xml:space="preserve"> - Listed are the activities for which growth points may be obtained and, in addition, the maximum number of points allowed. The required 24 points may be earned in a single year or over a period of six years. Points earned during one growth period may not be carried over into the succeeding professional period, even though they may have earned in excess of the required number.</w:t>
      </w:r>
    </w:p>
    <w:p w14:paraId="2AE7F760" w14:textId="77777777" w:rsidR="00003D99" w:rsidRDefault="00003D99" w:rsidP="00003D99">
      <w:pPr>
        <w:jc w:val="both"/>
        <w:rPr>
          <w:sz w:val="23"/>
          <w:szCs w:val="23"/>
        </w:rPr>
      </w:pPr>
    </w:p>
    <w:p w14:paraId="2009F372" w14:textId="77777777" w:rsidR="00003D99" w:rsidRDefault="00003D99" w:rsidP="00003D99">
      <w:pPr>
        <w:jc w:val="both"/>
        <w:rPr>
          <w:sz w:val="23"/>
          <w:szCs w:val="23"/>
        </w:rPr>
      </w:pPr>
    </w:p>
    <w:p w14:paraId="38CD2086" w14:textId="77777777" w:rsidR="00003D99" w:rsidRDefault="00003D99" w:rsidP="00003D99">
      <w:pPr>
        <w:jc w:val="both"/>
        <w:rPr>
          <w:sz w:val="23"/>
          <w:szCs w:val="23"/>
        </w:rPr>
      </w:pPr>
    </w:p>
    <w:p w14:paraId="306592CA" w14:textId="77777777" w:rsidR="00003D99" w:rsidRDefault="00003D99" w:rsidP="00003D99">
      <w:pPr>
        <w:jc w:val="both"/>
        <w:rPr>
          <w:sz w:val="23"/>
          <w:szCs w:val="23"/>
        </w:rPr>
      </w:pPr>
      <w:r>
        <w:rPr>
          <w:sz w:val="23"/>
          <w:szCs w:val="23"/>
        </w:rPr>
        <w:lastRenderedPageBreak/>
        <w:t>Professional Growth</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7"/>
        <w:gridCol w:w="446"/>
        <w:gridCol w:w="6730"/>
        <w:gridCol w:w="988"/>
      </w:tblGrid>
      <w:tr w:rsidR="00003D99" w14:paraId="2215DF8D" w14:textId="77777777">
        <w:trPr>
          <w:cantSplit/>
          <w:trHeight w:hRule="exact" w:val="1402"/>
        </w:trPr>
        <w:tc>
          <w:tcPr>
            <w:tcW w:w="857" w:type="dxa"/>
            <w:vMerge w:val="restart"/>
          </w:tcPr>
          <w:p w14:paraId="43BD2E9E" w14:textId="77777777" w:rsidR="00003D99" w:rsidRDefault="00003D99" w:rsidP="00003D99">
            <w:pPr>
              <w:spacing w:before="252"/>
              <w:ind w:left="106"/>
              <w:jc w:val="both"/>
              <w:rPr>
                <w:sz w:val="23"/>
                <w:szCs w:val="23"/>
              </w:rPr>
            </w:pPr>
            <w:r>
              <w:rPr>
                <w:sz w:val="23"/>
                <w:szCs w:val="23"/>
              </w:rPr>
              <w:t>I.</w:t>
            </w:r>
          </w:p>
          <w:p w14:paraId="4BB23811" w14:textId="77777777" w:rsidR="00003D99" w:rsidRDefault="00003D99" w:rsidP="00003D99">
            <w:pPr>
              <w:spacing w:before="936"/>
              <w:jc w:val="both"/>
              <w:rPr>
                <w:sz w:val="23"/>
                <w:szCs w:val="23"/>
              </w:rPr>
            </w:pPr>
            <w:r>
              <w:rPr>
                <w:sz w:val="23"/>
                <w:szCs w:val="23"/>
              </w:rPr>
              <w:t>II.</w:t>
            </w:r>
          </w:p>
        </w:tc>
        <w:tc>
          <w:tcPr>
            <w:tcW w:w="7176" w:type="dxa"/>
            <w:gridSpan w:val="2"/>
          </w:tcPr>
          <w:p w14:paraId="0F1DC7C2" w14:textId="77777777" w:rsidR="00003D99" w:rsidRDefault="00003D99" w:rsidP="00003D99">
            <w:pPr>
              <w:spacing w:before="252"/>
              <w:jc w:val="both"/>
              <w:rPr>
                <w:sz w:val="23"/>
                <w:szCs w:val="23"/>
              </w:rPr>
            </w:pPr>
            <w:r>
              <w:rPr>
                <w:sz w:val="23"/>
                <w:szCs w:val="23"/>
              </w:rPr>
              <w:t>A. College or University courses</w:t>
            </w:r>
          </w:p>
          <w:p w14:paraId="04852051" w14:textId="77777777" w:rsidR="00003D99" w:rsidRDefault="00003D99" w:rsidP="00003D99">
            <w:pPr>
              <w:ind w:left="370"/>
              <w:jc w:val="both"/>
              <w:rPr>
                <w:sz w:val="23"/>
                <w:szCs w:val="23"/>
              </w:rPr>
            </w:pPr>
            <w:r>
              <w:rPr>
                <w:sz w:val="23"/>
                <w:szCs w:val="23"/>
              </w:rPr>
              <w:t>(One semester hours equals 4 pts.)</w:t>
            </w:r>
          </w:p>
          <w:p w14:paraId="023577CE" w14:textId="77777777" w:rsidR="00003D99" w:rsidRDefault="00003D99" w:rsidP="00003D99">
            <w:pPr>
              <w:jc w:val="both"/>
              <w:rPr>
                <w:sz w:val="23"/>
                <w:szCs w:val="23"/>
              </w:rPr>
            </w:pPr>
            <w:r>
              <w:rPr>
                <w:sz w:val="23"/>
                <w:szCs w:val="23"/>
              </w:rPr>
              <w:t>B. Auditing Courses</w:t>
            </w:r>
          </w:p>
          <w:p w14:paraId="5841CC09" w14:textId="77777777" w:rsidR="00003D99" w:rsidRDefault="00003D99" w:rsidP="00003D99">
            <w:pPr>
              <w:spacing w:after="108"/>
              <w:ind w:left="375"/>
              <w:jc w:val="both"/>
              <w:rPr>
                <w:sz w:val="23"/>
                <w:szCs w:val="23"/>
              </w:rPr>
            </w:pPr>
            <w:r>
              <w:rPr>
                <w:sz w:val="23"/>
                <w:szCs w:val="23"/>
              </w:rPr>
              <w:t>(One semester hours equals 1 pt.)</w:t>
            </w:r>
          </w:p>
        </w:tc>
        <w:tc>
          <w:tcPr>
            <w:tcW w:w="988" w:type="dxa"/>
            <w:vMerge w:val="restart"/>
          </w:tcPr>
          <w:p w14:paraId="6F3D69EF" w14:textId="77777777" w:rsidR="00003D99" w:rsidRDefault="00003D99" w:rsidP="00003D99">
            <w:pPr>
              <w:spacing w:after="108"/>
              <w:ind w:left="375"/>
              <w:jc w:val="both"/>
              <w:rPr>
                <w:sz w:val="23"/>
                <w:szCs w:val="23"/>
              </w:rPr>
            </w:pPr>
          </w:p>
        </w:tc>
      </w:tr>
      <w:tr w:rsidR="00003D99" w14:paraId="756EE8EA" w14:textId="77777777">
        <w:trPr>
          <w:cantSplit/>
          <w:trHeight w:hRule="exact" w:val="365"/>
        </w:trPr>
        <w:tc>
          <w:tcPr>
            <w:tcW w:w="857" w:type="dxa"/>
            <w:vMerge/>
          </w:tcPr>
          <w:p w14:paraId="3C2DE317" w14:textId="77777777" w:rsidR="00003D99" w:rsidRDefault="00003D99" w:rsidP="00003D99">
            <w:pPr>
              <w:jc w:val="both"/>
            </w:pPr>
          </w:p>
        </w:tc>
        <w:tc>
          <w:tcPr>
            <w:tcW w:w="7176" w:type="dxa"/>
            <w:gridSpan w:val="2"/>
          </w:tcPr>
          <w:p w14:paraId="476DAC0B" w14:textId="77777777" w:rsidR="00003D99" w:rsidRDefault="00003D99" w:rsidP="00003D99">
            <w:pPr>
              <w:jc w:val="both"/>
              <w:rPr>
                <w:sz w:val="23"/>
                <w:szCs w:val="23"/>
              </w:rPr>
            </w:pPr>
            <w:r>
              <w:rPr>
                <w:sz w:val="23"/>
                <w:szCs w:val="23"/>
              </w:rPr>
              <w:t>Professional Meetings</w:t>
            </w:r>
          </w:p>
        </w:tc>
        <w:tc>
          <w:tcPr>
            <w:tcW w:w="988" w:type="dxa"/>
            <w:vMerge/>
          </w:tcPr>
          <w:p w14:paraId="556DEECC" w14:textId="77777777" w:rsidR="00003D99" w:rsidRDefault="00003D99" w:rsidP="00003D99">
            <w:pPr>
              <w:jc w:val="both"/>
              <w:rPr>
                <w:sz w:val="23"/>
                <w:szCs w:val="23"/>
              </w:rPr>
            </w:pPr>
          </w:p>
        </w:tc>
      </w:tr>
      <w:tr w:rsidR="00003D99" w14:paraId="5770AFA7" w14:textId="77777777">
        <w:trPr>
          <w:trHeight w:hRule="exact" w:val="1305"/>
        </w:trPr>
        <w:tc>
          <w:tcPr>
            <w:tcW w:w="857" w:type="dxa"/>
          </w:tcPr>
          <w:p w14:paraId="3AEA4CEC" w14:textId="77777777" w:rsidR="00003D99" w:rsidRDefault="00003D99" w:rsidP="00003D99">
            <w:pPr>
              <w:jc w:val="both"/>
            </w:pPr>
          </w:p>
        </w:tc>
        <w:tc>
          <w:tcPr>
            <w:tcW w:w="446" w:type="dxa"/>
          </w:tcPr>
          <w:p w14:paraId="4995D393" w14:textId="77777777" w:rsidR="00003D99" w:rsidRDefault="00003D99" w:rsidP="00003D99">
            <w:pPr>
              <w:jc w:val="both"/>
              <w:rPr>
                <w:sz w:val="23"/>
                <w:szCs w:val="23"/>
              </w:rPr>
            </w:pPr>
            <w:r>
              <w:rPr>
                <w:sz w:val="23"/>
                <w:szCs w:val="23"/>
              </w:rPr>
              <w:t>A.</w:t>
            </w:r>
          </w:p>
          <w:p w14:paraId="13E28014" w14:textId="77777777" w:rsidR="00003D99" w:rsidRDefault="00003D99" w:rsidP="00003D99">
            <w:pPr>
              <w:jc w:val="both"/>
              <w:rPr>
                <w:sz w:val="23"/>
                <w:szCs w:val="23"/>
              </w:rPr>
            </w:pPr>
          </w:p>
          <w:p w14:paraId="7358324A" w14:textId="77777777" w:rsidR="00003D99" w:rsidRDefault="00003D99" w:rsidP="00003D99">
            <w:pPr>
              <w:spacing w:before="216" w:after="216"/>
              <w:jc w:val="both"/>
              <w:rPr>
                <w:sz w:val="23"/>
                <w:szCs w:val="23"/>
              </w:rPr>
            </w:pPr>
            <w:r>
              <w:rPr>
                <w:sz w:val="23"/>
                <w:szCs w:val="23"/>
              </w:rPr>
              <w:t>B.</w:t>
            </w:r>
          </w:p>
        </w:tc>
        <w:tc>
          <w:tcPr>
            <w:tcW w:w="6730" w:type="dxa"/>
          </w:tcPr>
          <w:p w14:paraId="198E3579" w14:textId="77777777" w:rsidR="00003D99" w:rsidRDefault="00003D99" w:rsidP="00003D99">
            <w:pPr>
              <w:jc w:val="both"/>
              <w:rPr>
                <w:sz w:val="23"/>
                <w:szCs w:val="23"/>
              </w:rPr>
            </w:pPr>
            <w:r>
              <w:rPr>
                <w:sz w:val="23"/>
                <w:szCs w:val="23"/>
              </w:rPr>
              <w:t>Workshops, curriculum conferences &amp; conventions.</w:t>
            </w:r>
          </w:p>
          <w:p w14:paraId="7FA62EB5" w14:textId="77777777" w:rsidR="00003D99" w:rsidRDefault="00003D99" w:rsidP="00003D99">
            <w:pPr>
              <w:jc w:val="both"/>
              <w:rPr>
                <w:sz w:val="23"/>
                <w:szCs w:val="23"/>
              </w:rPr>
            </w:pPr>
            <w:r>
              <w:rPr>
                <w:sz w:val="23"/>
                <w:szCs w:val="23"/>
              </w:rPr>
              <w:t>(One point for every 3 hrs.) (Except Plattsmouth Community School sponsored)</w:t>
            </w:r>
          </w:p>
          <w:p w14:paraId="255AC819" w14:textId="77777777" w:rsidR="00003D99" w:rsidRDefault="00003D99" w:rsidP="00003D99">
            <w:pPr>
              <w:jc w:val="both"/>
              <w:rPr>
                <w:sz w:val="23"/>
                <w:szCs w:val="23"/>
              </w:rPr>
            </w:pPr>
            <w:r>
              <w:rPr>
                <w:sz w:val="23"/>
                <w:szCs w:val="23"/>
              </w:rPr>
              <w:t>TV &amp; Radio In-service Programs</w:t>
            </w:r>
          </w:p>
          <w:p w14:paraId="26BB21C1" w14:textId="77777777" w:rsidR="00003D99" w:rsidRDefault="00003D99" w:rsidP="00003D99">
            <w:pPr>
              <w:jc w:val="both"/>
              <w:rPr>
                <w:sz w:val="23"/>
                <w:szCs w:val="23"/>
              </w:rPr>
            </w:pPr>
            <w:r>
              <w:rPr>
                <w:sz w:val="23"/>
                <w:szCs w:val="23"/>
              </w:rPr>
              <w:t>(One point for every 6 hrs. viewing or listening)</w:t>
            </w:r>
          </w:p>
        </w:tc>
        <w:tc>
          <w:tcPr>
            <w:tcW w:w="988" w:type="dxa"/>
          </w:tcPr>
          <w:p w14:paraId="740AA534" w14:textId="77777777" w:rsidR="00003D99" w:rsidRDefault="00003D99" w:rsidP="00003D99">
            <w:pPr>
              <w:spacing w:before="684"/>
              <w:jc w:val="both"/>
              <w:rPr>
                <w:sz w:val="23"/>
                <w:szCs w:val="23"/>
              </w:rPr>
            </w:pPr>
            <w:r>
              <w:rPr>
                <w:sz w:val="23"/>
                <w:szCs w:val="23"/>
              </w:rPr>
              <w:t>4</w:t>
            </w:r>
          </w:p>
        </w:tc>
      </w:tr>
      <w:tr w:rsidR="00003D99" w14:paraId="0325A24C" w14:textId="77777777">
        <w:trPr>
          <w:trHeight w:hRule="exact" w:val="850"/>
        </w:trPr>
        <w:tc>
          <w:tcPr>
            <w:tcW w:w="857" w:type="dxa"/>
          </w:tcPr>
          <w:p w14:paraId="190F8BF0" w14:textId="77777777" w:rsidR="00003D99" w:rsidRDefault="00003D99" w:rsidP="00003D99">
            <w:pPr>
              <w:jc w:val="both"/>
            </w:pPr>
          </w:p>
        </w:tc>
        <w:tc>
          <w:tcPr>
            <w:tcW w:w="446" w:type="dxa"/>
          </w:tcPr>
          <w:p w14:paraId="047829BE" w14:textId="77777777" w:rsidR="00003D99" w:rsidRDefault="00003D99" w:rsidP="00003D99">
            <w:pPr>
              <w:spacing w:after="576"/>
              <w:jc w:val="both"/>
              <w:rPr>
                <w:sz w:val="23"/>
                <w:szCs w:val="23"/>
              </w:rPr>
            </w:pPr>
            <w:r>
              <w:rPr>
                <w:sz w:val="23"/>
                <w:szCs w:val="23"/>
              </w:rPr>
              <w:t>C.</w:t>
            </w:r>
          </w:p>
        </w:tc>
        <w:tc>
          <w:tcPr>
            <w:tcW w:w="6730" w:type="dxa"/>
          </w:tcPr>
          <w:p w14:paraId="10E6104E" w14:textId="77777777" w:rsidR="00003D99" w:rsidRDefault="00003D99" w:rsidP="00003D99">
            <w:pPr>
              <w:jc w:val="both"/>
              <w:rPr>
                <w:sz w:val="23"/>
                <w:szCs w:val="23"/>
              </w:rPr>
            </w:pPr>
            <w:r>
              <w:rPr>
                <w:sz w:val="23"/>
                <w:szCs w:val="23"/>
              </w:rPr>
              <w:t>Professional presentations to adults at a workshop, conference, or</w:t>
            </w:r>
          </w:p>
          <w:p w14:paraId="650C2F3D" w14:textId="77777777" w:rsidR="00003D99" w:rsidRDefault="00003D99" w:rsidP="00003D99">
            <w:pPr>
              <w:jc w:val="both"/>
              <w:rPr>
                <w:sz w:val="23"/>
                <w:szCs w:val="23"/>
              </w:rPr>
            </w:pPr>
            <w:r>
              <w:rPr>
                <w:sz w:val="23"/>
                <w:szCs w:val="23"/>
              </w:rPr>
              <w:t>convention.</w:t>
            </w:r>
          </w:p>
          <w:p w14:paraId="1F7D2C20" w14:textId="77777777" w:rsidR="00003D99" w:rsidRDefault="00003D99" w:rsidP="00003D99">
            <w:pPr>
              <w:spacing w:after="108"/>
              <w:jc w:val="both"/>
              <w:rPr>
                <w:sz w:val="23"/>
                <w:szCs w:val="23"/>
              </w:rPr>
            </w:pPr>
            <w:r>
              <w:rPr>
                <w:sz w:val="23"/>
                <w:szCs w:val="23"/>
              </w:rPr>
              <w:t>(One point per hour)</w:t>
            </w:r>
          </w:p>
        </w:tc>
        <w:tc>
          <w:tcPr>
            <w:tcW w:w="988" w:type="dxa"/>
          </w:tcPr>
          <w:p w14:paraId="20128FDC" w14:textId="77777777" w:rsidR="00003D99" w:rsidRDefault="00003D99" w:rsidP="00003D99">
            <w:pPr>
              <w:spacing w:before="468" w:after="72"/>
              <w:jc w:val="both"/>
              <w:rPr>
                <w:sz w:val="23"/>
                <w:szCs w:val="23"/>
              </w:rPr>
            </w:pPr>
            <w:r>
              <w:rPr>
                <w:sz w:val="23"/>
                <w:szCs w:val="23"/>
              </w:rPr>
              <w:t>12</w:t>
            </w:r>
          </w:p>
        </w:tc>
      </w:tr>
      <w:tr w:rsidR="00003D99" w14:paraId="40A3E175" w14:textId="77777777">
        <w:trPr>
          <w:cantSplit/>
          <w:trHeight w:hRule="exact" w:val="360"/>
        </w:trPr>
        <w:tc>
          <w:tcPr>
            <w:tcW w:w="857" w:type="dxa"/>
            <w:vMerge w:val="restart"/>
          </w:tcPr>
          <w:p w14:paraId="55CFFA00" w14:textId="77777777" w:rsidR="00003D99" w:rsidRDefault="00003D99" w:rsidP="00003D99">
            <w:pPr>
              <w:spacing w:after="432"/>
              <w:jc w:val="both"/>
              <w:rPr>
                <w:sz w:val="23"/>
                <w:szCs w:val="23"/>
              </w:rPr>
            </w:pPr>
            <w:r>
              <w:rPr>
                <w:sz w:val="23"/>
                <w:szCs w:val="23"/>
              </w:rPr>
              <w:t>III.</w:t>
            </w:r>
          </w:p>
        </w:tc>
        <w:tc>
          <w:tcPr>
            <w:tcW w:w="7176" w:type="dxa"/>
            <w:gridSpan w:val="2"/>
          </w:tcPr>
          <w:p w14:paraId="26B6BB47" w14:textId="77777777" w:rsidR="00003D99" w:rsidRDefault="00003D99" w:rsidP="00003D99">
            <w:pPr>
              <w:jc w:val="both"/>
              <w:rPr>
                <w:sz w:val="23"/>
                <w:szCs w:val="23"/>
              </w:rPr>
            </w:pPr>
            <w:r>
              <w:rPr>
                <w:sz w:val="23"/>
                <w:szCs w:val="23"/>
              </w:rPr>
              <w:t>Other Approved Activities</w:t>
            </w:r>
          </w:p>
        </w:tc>
        <w:tc>
          <w:tcPr>
            <w:tcW w:w="988" w:type="dxa"/>
            <w:vMerge w:val="restart"/>
          </w:tcPr>
          <w:p w14:paraId="4B3B6524" w14:textId="77777777" w:rsidR="00003D99" w:rsidRDefault="00003D99" w:rsidP="00003D99">
            <w:pPr>
              <w:spacing w:before="576"/>
              <w:jc w:val="both"/>
              <w:rPr>
                <w:sz w:val="23"/>
                <w:szCs w:val="23"/>
              </w:rPr>
            </w:pPr>
            <w:r>
              <w:rPr>
                <w:sz w:val="23"/>
                <w:szCs w:val="23"/>
              </w:rPr>
              <w:t>16</w:t>
            </w:r>
          </w:p>
        </w:tc>
      </w:tr>
      <w:tr w:rsidR="00003D99" w14:paraId="4D3C4820" w14:textId="77777777">
        <w:trPr>
          <w:cantSplit/>
          <w:trHeight w:hRule="exact" w:val="585"/>
        </w:trPr>
        <w:tc>
          <w:tcPr>
            <w:tcW w:w="857" w:type="dxa"/>
            <w:vMerge/>
          </w:tcPr>
          <w:p w14:paraId="6A0D1500" w14:textId="77777777" w:rsidR="00003D99" w:rsidRDefault="00003D99" w:rsidP="00003D99">
            <w:pPr>
              <w:jc w:val="both"/>
            </w:pPr>
          </w:p>
        </w:tc>
        <w:tc>
          <w:tcPr>
            <w:tcW w:w="446" w:type="dxa"/>
          </w:tcPr>
          <w:p w14:paraId="12EB967E" w14:textId="77777777" w:rsidR="00003D99" w:rsidRDefault="00003D99" w:rsidP="00003D99">
            <w:pPr>
              <w:spacing w:after="216"/>
              <w:jc w:val="both"/>
              <w:rPr>
                <w:sz w:val="23"/>
                <w:szCs w:val="23"/>
              </w:rPr>
            </w:pPr>
            <w:r>
              <w:rPr>
                <w:sz w:val="23"/>
                <w:szCs w:val="23"/>
              </w:rPr>
              <w:t>A.</w:t>
            </w:r>
          </w:p>
        </w:tc>
        <w:tc>
          <w:tcPr>
            <w:tcW w:w="6730" w:type="dxa"/>
          </w:tcPr>
          <w:p w14:paraId="72F90C0E" w14:textId="77777777" w:rsidR="00003D99" w:rsidRDefault="00003D99" w:rsidP="00003D99">
            <w:pPr>
              <w:jc w:val="both"/>
              <w:rPr>
                <w:sz w:val="23"/>
                <w:szCs w:val="23"/>
              </w:rPr>
            </w:pPr>
            <w:r>
              <w:rPr>
                <w:sz w:val="23"/>
                <w:szCs w:val="23"/>
              </w:rPr>
              <w:t>Research</w:t>
            </w:r>
          </w:p>
          <w:p w14:paraId="57505C56" w14:textId="77777777" w:rsidR="00003D99" w:rsidRDefault="00003D99" w:rsidP="00003D99">
            <w:pPr>
              <w:jc w:val="both"/>
              <w:rPr>
                <w:sz w:val="23"/>
                <w:szCs w:val="23"/>
              </w:rPr>
            </w:pPr>
            <w:r>
              <w:rPr>
                <w:sz w:val="23"/>
                <w:szCs w:val="23"/>
              </w:rPr>
              <w:t>(Pre-approval required by superintendent and principal)</w:t>
            </w:r>
          </w:p>
        </w:tc>
        <w:tc>
          <w:tcPr>
            <w:tcW w:w="988" w:type="dxa"/>
            <w:vMerge/>
          </w:tcPr>
          <w:p w14:paraId="40F334C5" w14:textId="77777777" w:rsidR="00003D99" w:rsidRDefault="00003D99" w:rsidP="00003D99">
            <w:pPr>
              <w:jc w:val="both"/>
              <w:rPr>
                <w:sz w:val="23"/>
                <w:szCs w:val="23"/>
              </w:rPr>
            </w:pPr>
          </w:p>
        </w:tc>
      </w:tr>
      <w:tr w:rsidR="00003D99" w14:paraId="20DC6B0A" w14:textId="77777777">
        <w:trPr>
          <w:trHeight w:hRule="exact" w:val="810"/>
        </w:trPr>
        <w:tc>
          <w:tcPr>
            <w:tcW w:w="857" w:type="dxa"/>
          </w:tcPr>
          <w:p w14:paraId="1CA7D64F" w14:textId="77777777" w:rsidR="00003D99" w:rsidRDefault="00003D99" w:rsidP="00003D99">
            <w:pPr>
              <w:jc w:val="both"/>
            </w:pPr>
          </w:p>
        </w:tc>
        <w:tc>
          <w:tcPr>
            <w:tcW w:w="446" w:type="dxa"/>
          </w:tcPr>
          <w:p w14:paraId="6DD550A4" w14:textId="77777777" w:rsidR="00003D99" w:rsidRDefault="00003D99" w:rsidP="00003D99">
            <w:pPr>
              <w:spacing w:after="432"/>
              <w:jc w:val="both"/>
              <w:rPr>
                <w:sz w:val="23"/>
                <w:szCs w:val="23"/>
              </w:rPr>
            </w:pPr>
            <w:r>
              <w:rPr>
                <w:sz w:val="23"/>
                <w:szCs w:val="23"/>
              </w:rPr>
              <w:t>B.</w:t>
            </w:r>
          </w:p>
        </w:tc>
        <w:tc>
          <w:tcPr>
            <w:tcW w:w="6730" w:type="dxa"/>
          </w:tcPr>
          <w:p w14:paraId="2B838968" w14:textId="77777777" w:rsidR="00003D99" w:rsidRDefault="00003D99" w:rsidP="00003D99">
            <w:pPr>
              <w:jc w:val="both"/>
              <w:rPr>
                <w:sz w:val="23"/>
                <w:szCs w:val="23"/>
              </w:rPr>
            </w:pPr>
            <w:r>
              <w:rPr>
                <w:sz w:val="23"/>
                <w:szCs w:val="23"/>
              </w:rPr>
              <w:t>Publications in professional journals and other educationally</w:t>
            </w:r>
          </w:p>
          <w:p w14:paraId="703B2EEC" w14:textId="77777777" w:rsidR="00003D99" w:rsidRDefault="00003D99" w:rsidP="00003D99">
            <w:pPr>
              <w:jc w:val="both"/>
              <w:rPr>
                <w:sz w:val="23"/>
                <w:szCs w:val="23"/>
              </w:rPr>
            </w:pPr>
            <w:r>
              <w:rPr>
                <w:sz w:val="23"/>
                <w:szCs w:val="23"/>
              </w:rPr>
              <w:t>related material.</w:t>
            </w:r>
          </w:p>
          <w:p w14:paraId="29841344" w14:textId="77777777" w:rsidR="00003D99" w:rsidRDefault="00003D99" w:rsidP="00003D99">
            <w:pPr>
              <w:jc w:val="both"/>
              <w:rPr>
                <w:sz w:val="23"/>
                <w:szCs w:val="23"/>
              </w:rPr>
            </w:pPr>
            <w:r>
              <w:rPr>
                <w:sz w:val="23"/>
                <w:szCs w:val="23"/>
              </w:rPr>
              <w:t>(Pre-approval required by superintendent and principal)</w:t>
            </w:r>
          </w:p>
        </w:tc>
        <w:tc>
          <w:tcPr>
            <w:tcW w:w="988" w:type="dxa"/>
          </w:tcPr>
          <w:p w14:paraId="4AE3D12C" w14:textId="77777777" w:rsidR="00003D99" w:rsidRDefault="00003D99" w:rsidP="00003D99">
            <w:pPr>
              <w:spacing w:before="468"/>
              <w:jc w:val="both"/>
              <w:rPr>
                <w:sz w:val="23"/>
                <w:szCs w:val="23"/>
              </w:rPr>
            </w:pPr>
            <w:r>
              <w:rPr>
                <w:sz w:val="23"/>
                <w:szCs w:val="23"/>
              </w:rPr>
              <w:t>16</w:t>
            </w:r>
          </w:p>
        </w:tc>
      </w:tr>
      <w:tr w:rsidR="00003D99" w14:paraId="0CC22C2F" w14:textId="77777777">
        <w:trPr>
          <w:trHeight w:hRule="exact" w:val="810"/>
        </w:trPr>
        <w:tc>
          <w:tcPr>
            <w:tcW w:w="857" w:type="dxa"/>
          </w:tcPr>
          <w:p w14:paraId="4303213F" w14:textId="77777777" w:rsidR="00003D99" w:rsidRDefault="00003D99" w:rsidP="00003D99">
            <w:pPr>
              <w:jc w:val="both"/>
            </w:pPr>
          </w:p>
        </w:tc>
        <w:tc>
          <w:tcPr>
            <w:tcW w:w="446" w:type="dxa"/>
          </w:tcPr>
          <w:p w14:paraId="6A1F33B8" w14:textId="77777777" w:rsidR="00003D99" w:rsidRDefault="00003D99" w:rsidP="00003D99">
            <w:pPr>
              <w:spacing w:after="432"/>
              <w:jc w:val="both"/>
              <w:rPr>
                <w:sz w:val="23"/>
                <w:szCs w:val="23"/>
              </w:rPr>
            </w:pPr>
            <w:r>
              <w:rPr>
                <w:sz w:val="23"/>
                <w:szCs w:val="23"/>
              </w:rPr>
              <w:t>C.</w:t>
            </w:r>
          </w:p>
        </w:tc>
        <w:tc>
          <w:tcPr>
            <w:tcW w:w="6730" w:type="dxa"/>
          </w:tcPr>
          <w:p w14:paraId="4A0FFEC6" w14:textId="77777777" w:rsidR="00003D99" w:rsidRDefault="00003D99" w:rsidP="00003D99">
            <w:pPr>
              <w:jc w:val="both"/>
              <w:rPr>
                <w:sz w:val="23"/>
                <w:szCs w:val="23"/>
              </w:rPr>
            </w:pPr>
            <w:r>
              <w:rPr>
                <w:sz w:val="23"/>
                <w:szCs w:val="23"/>
              </w:rPr>
              <w:t>Travel</w:t>
            </w:r>
          </w:p>
          <w:p w14:paraId="62ADBF1B" w14:textId="77777777" w:rsidR="00003D99" w:rsidRDefault="00003D99" w:rsidP="00003D99">
            <w:pPr>
              <w:jc w:val="both"/>
              <w:rPr>
                <w:sz w:val="23"/>
                <w:szCs w:val="23"/>
              </w:rPr>
            </w:pPr>
            <w:r>
              <w:rPr>
                <w:sz w:val="23"/>
                <w:szCs w:val="23"/>
              </w:rPr>
              <w:t>(One point per day)</w:t>
            </w:r>
          </w:p>
          <w:p w14:paraId="3E894C18" w14:textId="77777777" w:rsidR="00003D99" w:rsidRDefault="00003D99" w:rsidP="00003D99">
            <w:pPr>
              <w:jc w:val="both"/>
              <w:rPr>
                <w:sz w:val="23"/>
                <w:szCs w:val="23"/>
              </w:rPr>
            </w:pPr>
            <w:r>
              <w:rPr>
                <w:sz w:val="23"/>
                <w:szCs w:val="23"/>
              </w:rPr>
              <w:t>(Pre-approval required by superintendent and principal)</w:t>
            </w:r>
          </w:p>
        </w:tc>
        <w:tc>
          <w:tcPr>
            <w:tcW w:w="988" w:type="dxa"/>
          </w:tcPr>
          <w:p w14:paraId="34391407" w14:textId="77777777" w:rsidR="00003D99" w:rsidRDefault="00003D99" w:rsidP="00003D99">
            <w:pPr>
              <w:spacing w:before="468"/>
              <w:jc w:val="both"/>
              <w:rPr>
                <w:sz w:val="23"/>
                <w:szCs w:val="23"/>
              </w:rPr>
            </w:pPr>
            <w:r>
              <w:rPr>
                <w:sz w:val="23"/>
                <w:szCs w:val="23"/>
              </w:rPr>
              <w:t>12</w:t>
            </w:r>
          </w:p>
        </w:tc>
      </w:tr>
      <w:tr w:rsidR="00003D99" w14:paraId="03010259" w14:textId="77777777">
        <w:trPr>
          <w:trHeight w:hRule="exact" w:val="1080"/>
        </w:trPr>
        <w:tc>
          <w:tcPr>
            <w:tcW w:w="857" w:type="dxa"/>
          </w:tcPr>
          <w:p w14:paraId="1025C02C" w14:textId="77777777" w:rsidR="00003D99" w:rsidRDefault="00003D99" w:rsidP="00003D99">
            <w:pPr>
              <w:jc w:val="both"/>
            </w:pPr>
          </w:p>
        </w:tc>
        <w:tc>
          <w:tcPr>
            <w:tcW w:w="446" w:type="dxa"/>
          </w:tcPr>
          <w:p w14:paraId="134A1B33" w14:textId="77777777" w:rsidR="00003D99" w:rsidRDefault="00003D99" w:rsidP="00003D99">
            <w:pPr>
              <w:jc w:val="both"/>
              <w:rPr>
                <w:sz w:val="23"/>
                <w:szCs w:val="23"/>
              </w:rPr>
            </w:pPr>
            <w:r>
              <w:rPr>
                <w:sz w:val="23"/>
                <w:szCs w:val="23"/>
              </w:rPr>
              <w:t>D.</w:t>
            </w:r>
          </w:p>
          <w:p w14:paraId="1D022462" w14:textId="77777777" w:rsidR="00003D99" w:rsidRDefault="00003D99" w:rsidP="00003D99">
            <w:pPr>
              <w:spacing w:before="216" w:after="180"/>
              <w:jc w:val="both"/>
              <w:rPr>
                <w:sz w:val="23"/>
                <w:szCs w:val="23"/>
              </w:rPr>
            </w:pPr>
            <w:r>
              <w:rPr>
                <w:sz w:val="23"/>
                <w:szCs w:val="23"/>
              </w:rPr>
              <w:t>E.</w:t>
            </w:r>
          </w:p>
        </w:tc>
        <w:tc>
          <w:tcPr>
            <w:tcW w:w="6730" w:type="dxa"/>
          </w:tcPr>
          <w:p w14:paraId="763A878F" w14:textId="77777777" w:rsidR="00003D99" w:rsidRDefault="00003D99" w:rsidP="00003D99">
            <w:pPr>
              <w:jc w:val="both"/>
              <w:rPr>
                <w:sz w:val="23"/>
                <w:szCs w:val="23"/>
              </w:rPr>
            </w:pPr>
            <w:r>
              <w:rPr>
                <w:sz w:val="23"/>
                <w:szCs w:val="23"/>
              </w:rPr>
              <w:t>School visitations or accreditation/visitation committee.</w:t>
            </w:r>
          </w:p>
          <w:p w14:paraId="3E6F6F7C" w14:textId="77777777" w:rsidR="00003D99" w:rsidRDefault="00003D99" w:rsidP="00003D99">
            <w:pPr>
              <w:jc w:val="both"/>
              <w:rPr>
                <w:sz w:val="23"/>
                <w:szCs w:val="23"/>
              </w:rPr>
            </w:pPr>
            <w:r>
              <w:rPr>
                <w:sz w:val="23"/>
                <w:szCs w:val="23"/>
              </w:rPr>
              <w:t>(One point per day)</w:t>
            </w:r>
          </w:p>
          <w:p w14:paraId="5414CFAC" w14:textId="77777777" w:rsidR="00003D99" w:rsidRDefault="00003D99" w:rsidP="00003D99">
            <w:pPr>
              <w:jc w:val="both"/>
              <w:rPr>
                <w:sz w:val="23"/>
                <w:szCs w:val="23"/>
              </w:rPr>
            </w:pPr>
            <w:r>
              <w:rPr>
                <w:sz w:val="23"/>
                <w:szCs w:val="23"/>
              </w:rPr>
              <w:t>Summer employment related to professional assignment or work.</w:t>
            </w:r>
          </w:p>
          <w:p w14:paraId="3D6FDB57" w14:textId="77777777" w:rsidR="00003D99" w:rsidRDefault="00003D99" w:rsidP="00003D99">
            <w:pPr>
              <w:jc w:val="both"/>
              <w:rPr>
                <w:sz w:val="23"/>
                <w:szCs w:val="23"/>
              </w:rPr>
            </w:pPr>
            <w:r>
              <w:rPr>
                <w:sz w:val="23"/>
                <w:szCs w:val="23"/>
              </w:rPr>
              <w:t>(Pre-approval required by superintendent and principal)</w:t>
            </w:r>
          </w:p>
        </w:tc>
        <w:tc>
          <w:tcPr>
            <w:tcW w:w="988" w:type="dxa"/>
          </w:tcPr>
          <w:p w14:paraId="073E7AFD" w14:textId="77777777" w:rsidR="00003D99" w:rsidRDefault="00003D99" w:rsidP="00003D99">
            <w:pPr>
              <w:spacing w:before="720"/>
              <w:jc w:val="both"/>
              <w:rPr>
                <w:sz w:val="23"/>
                <w:szCs w:val="23"/>
              </w:rPr>
            </w:pPr>
            <w:r>
              <w:rPr>
                <w:sz w:val="23"/>
                <w:szCs w:val="23"/>
              </w:rPr>
              <w:t>12</w:t>
            </w:r>
          </w:p>
        </w:tc>
      </w:tr>
      <w:tr w:rsidR="00003D99" w14:paraId="25BD1840" w14:textId="77777777">
        <w:trPr>
          <w:trHeight w:hRule="exact" w:val="1890"/>
        </w:trPr>
        <w:tc>
          <w:tcPr>
            <w:tcW w:w="857" w:type="dxa"/>
          </w:tcPr>
          <w:p w14:paraId="58C3B9EB" w14:textId="77777777" w:rsidR="00003D99" w:rsidRDefault="00003D99" w:rsidP="00003D99">
            <w:pPr>
              <w:jc w:val="both"/>
            </w:pPr>
          </w:p>
        </w:tc>
        <w:tc>
          <w:tcPr>
            <w:tcW w:w="446" w:type="dxa"/>
          </w:tcPr>
          <w:p w14:paraId="67C03EF1" w14:textId="77777777" w:rsidR="00003D99" w:rsidRDefault="00003D99" w:rsidP="00003D99">
            <w:pPr>
              <w:jc w:val="both"/>
              <w:rPr>
                <w:sz w:val="23"/>
                <w:szCs w:val="23"/>
              </w:rPr>
            </w:pPr>
            <w:r>
              <w:rPr>
                <w:sz w:val="23"/>
                <w:szCs w:val="23"/>
              </w:rPr>
              <w:t>F.</w:t>
            </w:r>
          </w:p>
          <w:p w14:paraId="553B9AD6" w14:textId="77777777" w:rsidR="00003D99" w:rsidRDefault="00003D99" w:rsidP="00003D99">
            <w:pPr>
              <w:spacing w:before="216"/>
              <w:jc w:val="both"/>
              <w:rPr>
                <w:sz w:val="23"/>
                <w:szCs w:val="23"/>
              </w:rPr>
            </w:pPr>
            <w:r>
              <w:rPr>
                <w:sz w:val="23"/>
                <w:szCs w:val="23"/>
              </w:rPr>
              <w:t>G.</w:t>
            </w:r>
          </w:p>
          <w:p w14:paraId="6AAFE42C" w14:textId="77777777" w:rsidR="00003D99" w:rsidRDefault="00003D99" w:rsidP="00003D99">
            <w:pPr>
              <w:spacing w:before="216" w:after="396"/>
              <w:jc w:val="both"/>
              <w:rPr>
                <w:sz w:val="23"/>
                <w:szCs w:val="23"/>
              </w:rPr>
            </w:pPr>
            <w:r>
              <w:rPr>
                <w:sz w:val="23"/>
                <w:szCs w:val="23"/>
              </w:rPr>
              <w:t>H.</w:t>
            </w:r>
          </w:p>
        </w:tc>
        <w:tc>
          <w:tcPr>
            <w:tcW w:w="6730" w:type="dxa"/>
          </w:tcPr>
          <w:p w14:paraId="78D1636B" w14:textId="77777777" w:rsidR="00003D99" w:rsidRDefault="00003D99" w:rsidP="00003D99">
            <w:pPr>
              <w:jc w:val="both"/>
              <w:rPr>
                <w:sz w:val="23"/>
                <w:szCs w:val="23"/>
              </w:rPr>
            </w:pPr>
            <w:r>
              <w:rPr>
                <w:sz w:val="23"/>
                <w:szCs w:val="23"/>
              </w:rPr>
              <w:t>Serving as a cooperating teacher.</w:t>
            </w:r>
          </w:p>
          <w:p w14:paraId="13DFEE3E" w14:textId="77777777" w:rsidR="00003D99" w:rsidRDefault="00003D99" w:rsidP="00003D99">
            <w:pPr>
              <w:jc w:val="both"/>
              <w:rPr>
                <w:sz w:val="23"/>
                <w:szCs w:val="23"/>
              </w:rPr>
            </w:pPr>
            <w:r>
              <w:rPr>
                <w:sz w:val="23"/>
                <w:szCs w:val="23"/>
              </w:rPr>
              <w:t>(One point each semester)</w:t>
            </w:r>
          </w:p>
          <w:p w14:paraId="10C3896F" w14:textId="77777777" w:rsidR="00003D99" w:rsidRDefault="00003D99" w:rsidP="00003D99">
            <w:pPr>
              <w:jc w:val="both"/>
              <w:rPr>
                <w:sz w:val="23"/>
                <w:szCs w:val="23"/>
              </w:rPr>
            </w:pPr>
            <w:r>
              <w:rPr>
                <w:sz w:val="23"/>
                <w:szCs w:val="23"/>
              </w:rPr>
              <w:t>Service as an appointive or selective officer of a professional</w:t>
            </w:r>
          </w:p>
          <w:p w14:paraId="387C10AF" w14:textId="77777777" w:rsidR="00003D99" w:rsidRDefault="00003D99" w:rsidP="00003D99">
            <w:pPr>
              <w:jc w:val="both"/>
              <w:rPr>
                <w:sz w:val="23"/>
                <w:szCs w:val="23"/>
              </w:rPr>
            </w:pPr>
            <w:r>
              <w:rPr>
                <w:sz w:val="23"/>
                <w:szCs w:val="23"/>
              </w:rPr>
              <w:t>organization.</w:t>
            </w:r>
          </w:p>
          <w:p w14:paraId="0A98ED9B" w14:textId="77777777" w:rsidR="00003D99" w:rsidRDefault="00003D99" w:rsidP="00003D99">
            <w:pPr>
              <w:jc w:val="both"/>
              <w:rPr>
                <w:sz w:val="23"/>
                <w:szCs w:val="23"/>
              </w:rPr>
            </w:pPr>
            <w:r>
              <w:rPr>
                <w:sz w:val="23"/>
                <w:szCs w:val="23"/>
              </w:rPr>
              <w:t>Other activities not included above may be considered by the Professional Growth Committee after prior approval from the</w:t>
            </w:r>
          </w:p>
          <w:p w14:paraId="27E01998" w14:textId="77777777" w:rsidR="00003D99" w:rsidRDefault="00003D99" w:rsidP="00003D99">
            <w:pPr>
              <w:jc w:val="both"/>
              <w:rPr>
                <w:sz w:val="23"/>
                <w:szCs w:val="23"/>
              </w:rPr>
            </w:pPr>
            <w:r>
              <w:rPr>
                <w:sz w:val="23"/>
                <w:szCs w:val="23"/>
              </w:rPr>
              <w:t>administration.</w:t>
            </w:r>
          </w:p>
        </w:tc>
        <w:tc>
          <w:tcPr>
            <w:tcW w:w="988" w:type="dxa"/>
          </w:tcPr>
          <w:p w14:paraId="5B429E3B" w14:textId="77777777" w:rsidR="00003D99" w:rsidRDefault="00003D99" w:rsidP="00003D99">
            <w:pPr>
              <w:spacing w:before="1440"/>
              <w:jc w:val="both"/>
              <w:rPr>
                <w:sz w:val="23"/>
                <w:szCs w:val="23"/>
              </w:rPr>
            </w:pPr>
            <w:r>
              <w:rPr>
                <w:sz w:val="23"/>
                <w:szCs w:val="23"/>
              </w:rPr>
              <w:t>3</w:t>
            </w:r>
          </w:p>
        </w:tc>
      </w:tr>
    </w:tbl>
    <w:p w14:paraId="6258086B" w14:textId="77777777" w:rsidR="00003D99" w:rsidRDefault="00003D99" w:rsidP="00003D99">
      <w:pPr>
        <w:spacing w:after="88" w:line="20" w:lineRule="exact"/>
        <w:jc w:val="both"/>
      </w:pPr>
    </w:p>
    <w:p w14:paraId="6647E169" w14:textId="77777777" w:rsidR="00003D99" w:rsidRDefault="00003D99" w:rsidP="00003D99">
      <w:pPr>
        <w:spacing w:line="240" w:lineRule="exact"/>
        <w:jc w:val="both"/>
        <w:rPr>
          <w:sz w:val="23"/>
          <w:szCs w:val="23"/>
        </w:rPr>
      </w:pPr>
      <w:r>
        <w:rPr>
          <w:sz w:val="23"/>
          <w:szCs w:val="23"/>
        </w:rPr>
        <w:t>If a staff member attends a workshop or conference for one and one-half hours (1/2 point possible credit), then that workshop may be referred to the Professional Growth Committee, if accompanied by another application from the same category for another one-half point.</w:t>
      </w:r>
    </w:p>
    <w:p w14:paraId="6E9F729A" w14:textId="77777777" w:rsidR="00003D99" w:rsidRDefault="00003D99" w:rsidP="00003D99">
      <w:pPr>
        <w:spacing w:before="216" w:line="252" w:lineRule="exact"/>
        <w:ind w:right="576"/>
        <w:jc w:val="both"/>
        <w:rPr>
          <w:sz w:val="23"/>
          <w:szCs w:val="23"/>
        </w:rPr>
      </w:pPr>
      <w:r>
        <w:rPr>
          <w:sz w:val="23"/>
          <w:szCs w:val="23"/>
        </w:rPr>
        <w:t>No more than 8 growth points can be awarded in the areas of extra-curricular activities in any growth period.</w:t>
      </w:r>
    </w:p>
    <w:p w14:paraId="75FC68A4" w14:textId="77777777" w:rsidR="00003D99" w:rsidRDefault="00003D99" w:rsidP="00003D99">
      <w:pPr>
        <w:spacing w:before="216" w:line="240" w:lineRule="exact"/>
        <w:ind w:right="216"/>
        <w:jc w:val="both"/>
        <w:rPr>
          <w:sz w:val="23"/>
          <w:szCs w:val="23"/>
        </w:rPr>
      </w:pPr>
      <w:r>
        <w:rPr>
          <w:sz w:val="23"/>
          <w:szCs w:val="23"/>
        </w:rPr>
        <w:t>All applications eligible for consideration must be turned into the Principal's office during the six-year growth period of time.</w:t>
      </w:r>
    </w:p>
    <w:p w14:paraId="6F474E97" w14:textId="77777777" w:rsidR="00003D99" w:rsidRDefault="00003D99" w:rsidP="00003D99">
      <w:pPr>
        <w:spacing w:line="288" w:lineRule="atLeast"/>
        <w:ind w:left="1512"/>
        <w:jc w:val="both"/>
        <w:rPr>
          <w:sz w:val="14"/>
          <w:szCs w:val="14"/>
        </w:rPr>
      </w:pPr>
    </w:p>
    <w:p w14:paraId="1D9EF02B" w14:textId="77777777" w:rsidR="00CE22C9" w:rsidRDefault="00CE22C9" w:rsidP="00003D99">
      <w:pPr>
        <w:spacing w:line="0" w:lineRule="atLeast"/>
        <w:jc w:val="both"/>
      </w:pPr>
    </w:p>
    <w:p w14:paraId="75705817" w14:textId="77777777" w:rsidR="00CE22C9" w:rsidRDefault="00CE22C9" w:rsidP="00003D99">
      <w:pPr>
        <w:spacing w:line="0" w:lineRule="atLeast"/>
        <w:jc w:val="both"/>
      </w:pPr>
    </w:p>
    <w:p w14:paraId="71F06C94" w14:textId="77777777" w:rsidR="00003D99" w:rsidRDefault="00003D99" w:rsidP="00003D99">
      <w:pPr>
        <w:spacing w:line="0" w:lineRule="atLeast"/>
        <w:jc w:val="both"/>
      </w:pPr>
      <w:r>
        <w:lastRenderedPageBreak/>
        <w:t>Date of Adoption: July 11, 2005</w:t>
      </w:r>
    </w:p>
    <w:p w14:paraId="2F825E48" w14:textId="77777777" w:rsidR="00003D99" w:rsidRDefault="00003D99" w:rsidP="00003D99">
      <w:pPr>
        <w:spacing w:line="0" w:lineRule="atLeast"/>
        <w:jc w:val="both"/>
      </w:pPr>
      <w:r>
        <w:t>Reviewed: May 12, 2008, May 11, 2009, May 10, 2010, May 9, 2011, Dec. 12, 2011</w:t>
      </w:r>
    </w:p>
    <w:p w14:paraId="09CD576F" w14:textId="77777777" w:rsidR="008F4790" w:rsidRDefault="00B45C48" w:rsidP="008F4790">
      <w:pPr>
        <w:spacing w:line="0" w:lineRule="atLeast"/>
        <w:jc w:val="both"/>
      </w:pPr>
      <w:r>
        <w:t>Reviewed: Mar. 11, 2013</w:t>
      </w:r>
      <w:r w:rsidR="00CE22C9">
        <w:t>, Feb. 10, 2014</w:t>
      </w:r>
      <w:r w:rsidR="00AE02B2">
        <w:t>, Feb. 9, 2015</w:t>
      </w:r>
      <w:r w:rsidR="004F3E67">
        <w:t>, Feb. 8, 2016</w:t>
      </w:r>
      <w:r w:rsidR="00123E11">
        <w:t>, Feb. 13, 2017</w:t>
      </w:r>
      <w:r w:rsidR="00432DF9">
        <w:t>, Feb. 12, 201</w:t>
      </w:r>
      <w:r w:rsidR="00671827">
        <w:t>8, Feb. 11, 201</w:t>
      </w:r>
      <w:r w:rsidR="00BF649B">
        <w:t>9</w:t>
      </w:r>
      <w:r w:rsidR="00C85F90">
        <w:t>, Mar. 9, 2020</w:t>
      </w:r>
      <w:r w:rsidR="00576D4B">
        <w:t>, Mar. 8, 2021</w:t>
      </w:r>
      <w:r w:rsidR="006A5F0E">
        <w:t>, Mar. 14, 2022</w:t>
      </w:r>
      <w:r w:rsidR="00FF3972">
        <w:t>, Mar. 13, 2023</w:t>
      </w:r>
      <w:r w:rsidR="00996BED">
        <w:t>, Mar. 18, 2024</w:t>
      </w:r>
      <w:r w:rsidR="00252E6E">
        <w:t>, Mar 17, 2025</w:t>
      </w:r>
      <w:r w:rsidR="008F4790">
        <w:t>, Mar 9, 2026</w:t>
      </w:r>
    </w:p>
    <w:p w14:paraId="3767B504" w14:textId="259FFD2A" w:rsidR="00B45C48" w:rsidRPr="009A0665" w:rsidRDefault="00B45C48" w:rsidP="00003D99">
      <w:pPr>
        <w:spacing w:line="0" w:lineRule="atLeast"/>
        <w:jc w:val="both"/>
      </w:pPr>
    </w:p>
    <w:sectPr w:rsidR="00B45C48" w:rsidRPr="009A0665">
      <w:headerReference w:type="default"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501E" w14:textId="77777777" w:rsidR="00C35C76" w:rsidRDefault="00C35C76">
      <w:r>
        <w:separator/>
      </w:r>
    </w:p>
  </w:endnote>
  <w:endnote w:type="continuationSeparator" w:id="0">
    <w:p w14:paraId="37200A82" w14:textId="77777777" w:rsidR="00C35C76" w:rsidRDefault="00C3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115F" w14:textId="77777777" w:rsidR="00671827" w:rsidRDefault="00671827">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6A5F0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5F0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F12F" w14:textId="77777777" w:rsidR="00C35C76" w:rsidRDefault="00C35C76">
      <w:r>
        <w:separator/>
      </w:r>
    </w:p>
  </w:footnote>
  <w:footnote w:type="continuationSeparator" w:id="0">
    <w:p w14:paraId="7E596A0B" w14:textId="77777777" w:rsidR="00C35C76" w:rsidRDefault="00C3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B913" w14:textId="77777777" w:rsidR="00671827" w:rsidRPr="00B208E1" w:rsidRDefault="00671827">
    <w:pPr>
      <w:pStyle w:val="Header"/>
    </w:pPr>
    <w:r>
      <w:t>Article 4</w:t>
    </w:r>
    <w:r>
      <w:tab/>
    </w:r>
    <w:r>
      <w:rPr>
        <w:b/>
        <w:bCs/>
      </w:rPr>
      <w:t>PERSONNEL</w:t>
    </w:r>
    <w:r>
      <w:tab/>
      <w:t>Policy No. 4140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E1"/>
    <w:rsid w:val="00003D99"/>
    <w:rsid w:val="00123E11"/>
    <w:rsid w:val="0012647B"/>
    <w:rsid w:val="00252E6E"/>
    <w:rsid w:val="00432DF9"/>
    <w:rsid w:val="004F3E67"/>
    <w:rsid w:val="005439A5"/>
    <w:rsid w:val="00576D4B"/>
    <w:rsid w:val="00671827"/>
    <w:rsid w:val="006A5F0E"/>
    <w:rsid w:val="0074630A"/>
    <w:rsid w:val="008F4790"/>
    <w:rsid w:val="00996BED"/>
    <w:rsid w:val="00AE02B2"/>
    <w:rsid w:val="00B034B6"/>
    <w:rsid w:val="00B208E1"/>
    <w:rsid w:val="00B45C48"/>
    <w:rsid w:val="00B47AC8"/>
    <w:rsid w:val="00BF649B"/>
    <w:rsid w:val="00C16BB3"/>
    <w:rsid w:val="00C35C76"/>
    <w:rsid w:val="00C85F90"/>
    <w:rsid w:val="00CE22C9"/>
    <w:rsid w:val="00E71649"/>
    <w:rsid w:val="00E8337B"/>
    <w:rsid w:val="00FF39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77A1A00"/>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08E1"/>
    <w:pPr>
      <w:tabs>
        <w:tab w:val="center" w:pos="4320"/>
        <w:tab w:val="right" w:pos="8640"/>
      </w:tabs>
    </w:pPr>
  </w:style>
  <w:style w:type="paragraph" w:styleId="Footer">
    <w:name w:val="footer"/>
    <w:basedOn w:val="Normal"/>
    <w:rsid w:val="00B208E1"/>
    <w:pPr>
      <w:tabs>
        <w:tab w:val="center" w:pos="4320"/>
        <w:tab w:val="right" w:pos="8640"/>
      </w:tabs>
    </w:pPr>
  </w:style>
  <w:style w:type="character" w:styleId="PageNumber">
    <w:name w:val="page number"/>
    <w:basedOn w:val="DefaultParagraphFont"/>
    <w:rsid w:val="00B208E1"/>
  </w:style>
  <w:style w:type="paragraph" w:styleId="BalloonText">
    <w:name w:val="Balloon Text"/>
    <w:basedOn w:val="Normal"/>
    <w:link w:val="BalloonTextChar"/>
    <w:uiPriority w:val="99"/>
    <w:semiHidden/>
    <w:unhideWhenUsed/>
    <w:rsid w:val="00B45C48"/>
    <w:rPr>
      <w:rFonts w:ascii="Lucida Grande" w:hAnsi="Lucida Grande" w:cs="Lucida Grande"/>
      <w:sz w:val="18"/>
      <w:szCs w:val="18"/>
    </w:rPr>
  </w:style>
  <w:style w:type="character" w:customStyle="1" w:styleId="BalloonTextChar">
    <w:name w:val="Balloon Text Char"/>
    <w:link w:val="BalloonText"/>
    <w:uiPriority w:val="99"/>
    <w:semiHidden/>
    <w:rsid w:val="00B45C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Personnel</vt:lpstr>
    </vt:vector>
  </TitlesOfParts>
  <Company>Perry Law Firm</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Teresa Schuelke</dc:creator>
  <cp:keywords/>
  <dc:description/>
  <cp:lastModifiedBy>Morlan, Emily (eemorlan)</cp:lastModifiedBy>
  <cp:revision>4</cp:revision>
  <cp:lastPrinted>2023-03-27T14:57:00Z</cp:lastPrinted>
  <dcterms:created xsi:type="dcterms:W3CDTF">2024-04-03T19:02:00Z</dcterms:created>
  <dcterms:modified xsi:type="dcterms:W3CDTF">2026-04-01T20:06:00Z</dcterms:modified>
</cp:coreProperties>
</file>