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rFonts w:ascii="Glegoo" w:cs="Glegoo" w:eastAsia="Glegoo" w:hAnsi="Glegoo"/>
          <w:b w:val="1"/>
          <w:bCs w:val="1"/>
          <w:color w:val="333333"/>
          <w:sz w:val="30"/>
          <w:szCs w:val="30"/>
        </w:rPr>
      </w:pPr>
      <w:r w:rsidDel="00000000" w:rsidR="00000000" w:rsidRPr="00000000">
        <w:rPr>
          <w:rFonts w:ascii="Glegoo" w:cs="Glegoo" w:eastAsia="Glegoo" w:hAnsi="Glegoo"/>
          <w:b w:val="1"/>
          <w:bCs w:val="1"/>
          <w:color w:val="333333"/>
          <w:sz w:val="30"/>
          <w:szCs w:val="30"/>
        </w:rPr>
        <w:drawing>
          <wp:anchor allowOverlap="1" behindDoc="1" distB="114300" distT="114300" distL="114300" distR="114300" hidden="0" layoutInCell="1" locked="0" relativeHeight="0" simplePos="0">
            <wp:simplePos x="0" y="0"/>
            <wp:positionH relativeFrom="page">
              <wp:posOffset>0</wp:posOffset>
            </wp:positionH>
            <wp:positionV relativeFrom="page">
              <wp:posOffset>-9524</wp:posOffset>
            </wp:positionV>
            <wp:extent cx="7772400" cy="1676400"/>
            <wp:effectExtent b="0" l="0" r="0" t="0"/>
            <wp:wrapNone/>
            <wp:docPr id="1" name="image1.png"/>
            <a:graphic>
              <a:graphicData uri="http://schemas.openxmlformats.org/drawingml/2006/picture">
                <pic:pic>
                  <pic:nvPicPr>
                    <pic:cNvPr id="0" name="image1.png"/>
                    <pic:cNvPicPr preferRelativeResize="0"/>
                  </pic:nvPicPr>
                  <pic:blipFill>
                    <a:blip r:embed="rId6"/>
                    <a:srcRect b="83324" l="0" r="0" t="15"/>
                    <a:stretch>
                      <a:fillRect/>
                    </a:stretch>
                  </pic:blipFill>
                  <pic:spPr>
                    <a:xfrm>
                      <a:off x="0" y="0"/>
                      <a:ext cx="7772400" cy="16764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ageBreakBefore w:val="0"/>
        <w:spacing w:line="240" w:lineRule="auto"/>
        <w:rPr>
          <w:rFonts w:ascii="Glegoo" w:cs="Glegoo" w:eastAsia="Glegoo" w:hAnsi="Glegoo"/>
          <w:b w:val="1"/>
          <w:bCs w:val="1"/>
          <w:color w:val="333333"/>
          <w:sz w:val="30"/>
          <w:szCs w:val="30"/>
        </w:rPr>
      </w:pPr>
      <w:r w:rsidDel="00000000" w:rsidR="00000000" w:rsidRPr="00000000">
        <w:rPr>
          <w:rtl w:val="0"/>
        </w:rPr>
      </w:r>
    </w:p>
    <w:p w:rsidR="00000000" w:rsidDel="00000000" w:rsidP="00000000" w:rsidRDefault="00000000" w:rsidRPr="00000000" w14:paraId="00000003">
      <w:pPr>
        <w:pageBreakBefore w:val="0"/>
        <w:spacing w:line="240" w:lineRule="auto"/>
        <w:rPr>
          <w:rFonts w:ascii="Glegoo" w:cs="Glegoo" w:eastAsia="Glegoo" w:hAnsi="Glegoo"/>
          <w:b w:val="1"/>
          <w:bCs w:val="1"/>
          <w:color w:val="333333"/>
          <w:sz w:val="30"/>
          <w:szCs w:val="30"/>
        </w:rPr>
      </w:pPr>
      <w:r w:rsidDel="00000000" w:rsidR="00000000" w:rsidRPr="00000000">
        <w:rPr>
          <w:rtl w:val="0"/>
        </w:rPr>
      </w:r>
    </w:p>
    <w:p w:rsidR="00000000" w:rsidDel="00000000" w:rsidP="00000000" w:rsidRDefault="00000000" w:rsidRPr="00000000" w14:paraId="00000004">
      <w:pPr>
        <w:pageBreakBefore w:val="0"/>
        <w:spacing w:line="240" w:lineRule="auto"/>
        <w:rPr>
          <w:rFonts w:ascii="Glegoo" w:cs="Glegoo" w:eastAsia="Glegoo" w:hAnsi="Glegoo"/>
          <w:b w:val="1"/>
          <w:bCs w:val="1"/>
          <w:color w:val="333333"/>
          <w:sz w:val="30"/>
          <w:szCs w:val="30"/>
        </w:rPr>
      </w:pPr>
      <w:r w:rsidDel="00000000" w:rsidR="00000000" w:rsidRPr="00000000">
        <w:rPr>
          <w:rtl w:val="0"/>
        </w:rPr>
      </w:r>
    </w:p>
    <w:p w:rsidR="00000000" w:rsidDel="00000000" w:rsidP="00000000" w:rsidRDefault="00000000" w:rsidRPr="00000000" w14:paraId="00000005">
      <w:pPr>
        <w:pageBreakBefore w:val="0"/>
        <w:spacing w:line="240" w:lineRule="auto"/>
        <w:rPr>
          <w:rFonts w:ascii="Glegoo" w:cs="Glegoo" w:eastAsia="Glegoo" w:hAnsi="Glegoo"/>
          <w:b w:val="1"/>
          <w:bCs w:val="1"/>
          <w:color w:val="333333"/>
          <w:sz w:val="30"/>
          <w:szCs w:val="30"/>
        </w:rPr>
      </w:pPr>
      <w:r w:rsidDel="00000000" w:rsidR="00000000" w:rsidRPr="00000000">
        <w:rPr>
          <w:rtl w:val="0"/>
        </w:rPr>
      </w:r>
    </w:p>
    <w:p w:rsidR="00000000" w:rsidDel="00000000" w:rsidP="00000000" w:rsidRDefault="00000000" w:rsidRPr="00000000" w14:paraId="00000006">
      <w:pPr>
        <w:spacing w:line="240" w:lineRule="auto"/>
        <w:ind w:right="9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ind w:left="0" w:right="9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de octubre de 2025</w:t>
      </w:r>
    </w:p>
    <w:p w:rsidR="00000000" w:rsidDel="00000000" w:rsidP="00000000" w:rsidRDefault="00000000" w:rsidRPr="00000000" w14:paraId="00000008">
      <w:pPr>
        <w:spacing w:line="240" w:lineRule="auto"/>
        <w:ind w:left="0" w:right="9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40" w:lineRule="auto"/>
        <w:ind w:right="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Estimado padre/tutor:</w:t>
      </w:r>
    </w:p>
    <w:p w:rsidR="00000000" w:rsidDel="00000000" w:rsidP="00000000" w:rsidRDefault="00000000" w:rsidRPr="00000000" w14:paraId="0000000A">
      <w:pPr>
        <w:spacing w:line="240" w:lineRule="auto"/>
        <w:ind w:right="9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widowControl w:val="0"/>
        <w:spacing w:after="120" w:line="240" w:lineRule="auto"/>
        <w:ind w:right="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legislación (G.S. §115C-83.15) aprobada durante la larga sesión de 2013 de la Asamblea General de Carolina del Norte ofrece a los padres una medida adicional del rendimiento escolar mediante las Calificaciones de Rendimiento Escolar. A partir del año escolar 2013-2014, las Tarjetas de Calificaciones Escolares anuales de Carolina del Norte muestran una calificación de A, B, C, D o F para cada escuela del estado.</w:t>
      </w:r>
    </w:p>
    <w:p w:rsidR="00000000" w:rsidDel="00000000" w:rsidP="00000000" w:rsidRDefault="00000000" w:rsidRPr="00000000" w14:paraId="0000000C">
      <w:pPr>
        <w:widowControl w:val="0"/>
        <w:spacing w:after="120" w:line="240" w:lineRule="auto"/>
        <w:ind w:right="90"/>
        <w:rPr>
          <w:rFonts w:ascii="Times New Roman" w:cs="Times New Roman" w:eastAsia="Times New Roman" w:hAnsi="Times New Roman"/>
        </w:rPr>
      </w:pPr>
      <w:bookmarkStart w:colFirst="0" w:colLast="0" w:name="_30j0zll" w:id="0"/>
      <w:bookmarkEnd w:id="0"/>
      <w:r w:rsidDel="00000000" w:rsidR="00000000" w:rsidRPr="00000000">
        <w:rPr>
          <w:rFonts w:ascii="Times New Roman" w:cs="Times New Roman" w:eastAsia="Times New Roman" w:hAnsi="Times New Roman"/>
          <w:rtl w:val="0"/>
        </w:rPr>
        <w:t xml:space="preserve">Las calificaciones de desempeño escolar se basan en un 80 % en el puntaje de rendimiento de nuestra escuela (competencia estudiantil) y un 20 % en el crecimiento académico de los estudiantes. En la Escuela Primaria West Hoke, nuestro puntaje de rendimiento para...</w:t>
      </w:r>
      <w:r w:rsidDel="00000000" w:rsidR="00000000" w:rsidRPr="00000000">
        <w:rPr>
          <w:rFonts w:ascii="Times New Roman" w:cs="Times New Roman" w:eastAsia="Times New Roman" w:hAnsi="Times New Roman"/>
          <w:rtl w:val="0"/>
        </w:rPr>
        <w:t xml:space="preserve">2024-2025</w:t>
      </w:r>
      <w:r w:rsidDel="00000000" w:rsidR="00000000" w:rsidRPr="00000000">
        <w:rPr>
          <w:rFonts w:ascii="Times New Roman" w:cs="Times New Roman" w:eastAsia="Times New Roman" w:hAnsi="Times New Roman"/>
          <w:rtl w:val="0"/>
        </w:rPr>
        <w:t xml:space="preserve">El año escolar se basa en el desempeño de nuestros estudiantes en g</w:t>
      </w:r>
      <w:r w:rsidDel="00000000" w:rsidR="00000000" w:rsidRPr="00000000">
        <w:rPr>
          <w:rFonts w:ascii="Times New Roman" w:cs="Times New Roman" w:eastAsia="Times New Roman" w:hAnsi="Times New Roman"/>
          <w:rtl w:val="0"/>
        </w:rPr>
        <w:t xml:space="preserve">grados 3–5 Matemáticas, grados 3–5 Artes del lenguaje inglés/Lectura y grado 5 Ciencias.</w:t>
      </w:r>
      <w:r w:rsidDel="00000000" w:rsidR="00000000" w:rsidRPr="00000000">
        <w:rPr>
          <w:rtl w:val="0"/>
        </w:rPr>
      </w:r>
    </w:p>
    <w:p w:rsidR="00000000" w:rsidDel="00000000" w:rsidP="00000000" w:rsidRDefault="00000000" w:rsidRPr="00000000" w14:paraId="0000000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propósito de esta carta es informarle que la Escuela Primaria West Hoke ha sido designada como escuela de bajo rendimiento por la Junta Estatal de Educación de Carolina del Norte. Según lo definido en el Estatuto General 115C-105.37: “La Junta Estatal de Educación identificará anualmente las escuelas de bajo rendimiento. Las escuelas de bajo rendimiento son aquellas que obtienen una calificación general de rendimiento escolar de D o F y una puntuación de crecimiento escolar de "cumplió con el crecimiento esperado" o "no cumplió con el crecimiento esperado", según lo definido en el Estatuto General 115C-83.15”.</w:t>
      </w:r>
    </w:p>
    <w:p w:rsidR="00000000" w:rsidDel="00000000" w:rsidP="00000000" w:rsidRDefault="00000000" w:rsidRPr="00000000" w14:paraId="0000000E">
      <w:pPr>
        <w:widowControl w:val="0"/>
        <w:spacing w:after="120" w:before="280" w:line="240" w:lineRule="auto"/>
        <w:ind w:right="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escuela primaria West Hoke recibió una calificación de desempeño escolar de D y una designación de crecimiento de “No cumplido”.</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Para el año escolar 2024-2025. Si bien nos comprometemos a mejorar esta puntuación, es importante recordar que, así como ninguna puntuación o calificación individual revela la historia completa de un estudiante, tampoco revela todo sobre el desempeño de una escuela ni las oportunidades que ofrece.</w:t>
      </w:r>
    </w:p>
    <w:p w:rsidR="00000000" w:rsidDel="00000000" w:rsidP="00000000" w:rsidRDefault="00000000" w:rsidRPr="00000000" w14:paraId="0000000F">
      <w:pPr>
        <w:widowControl w:val="0"/>
        <w:spacing w:after="120" w:before="280" w:line="240" w:lineRule="auto"/>
        <w:ind w:right="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Como escuela de bajo rendimiento, debemos desarrollar un plan de mejora que aborde específicamente cómo mejorará tanto la calificación de rendimiento escolar como el puntaje de crecimiento escolar. El plan también incluirá cómo el superintendente y otros administradores de la oficina central del distrito colaborarán con nosotros y supervisarán el progreso de nuestra escuela. Ya trabajamos en la mejora de nuestro plan y lo presentamos a la junta escolar el 25 de septiembre, donde fue aprobado. El plan final está disponible para su revisión en el sitio web de nuestra escuela:</w:t>
      </w:r>
      <w:r w:rsidDel="00000000" w:rsidR="00000000" w:rsidRPr="00000000">
        <w:rPr>
          <w:rFonts w:ascii="Times New Roman" w:cs="Times New Roman" w:eastAsia="Times New Roman" w:hAnsi="Times New Roman"/>
          <w:rtl w:val="0"/>
        </w:rPr>
        <w:t xml:space="preserve">https://www.hcs.k12.nc.us/whes.</w:t>
      </w:r>
    </w:p>
    <w:p w:rsidR="00000000" w:rsidDel="00000000" w:rsidP="00000000" w:rsidRDefault="00000000" w:rsidRPr="00000000" w14:paraId="00000010">
      <w:pPr>
        <w:widowControl w:val="0"/>
        <w:spacing w:after="120" w:before="280" w:line="240" w:lineRule="auto"/>
        <w:ind w:right="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w:t>
      </w:r>
      <w:r w:rsidDel="00000000" w:rsidR="00000000" w:rsidRPr="00000000">
        <w:rPr>
          <w:rFonts w:ascii="Times New Roman" w:cs="Times New Roman" w:eastAsia="Times New Roman" w:hAnsi="Times New Roman"/>
          <w:rtl w:val="0"/>
        </w:rPr>
        <w:t xml:space="preserve">Nuestro objetivo para el ciclo escolar 2025-2026 es mejorar nuestra calificación de rendimiento escolar. Tenemos varias prioridades establecidas para ayudar a mejorar el rendimiento estudiantil. Estas incluyen:</w:t>
      </w:r>
    </w:p>
    <w:p w:rsidR="00000000" w:rsidDel="00000000" w:rsidP="00000000" w:rsidRDefault="00000000" w:rsidRPr="00000000" w14:paraId="00000011">
      <w:pPr>
        <w:widowControl w:val="0"/>
        <w:numPr>
          <w:ilvl w:val="0"/>
          <w:numId w:val="1"/>
        </w:numPr>
        <w:spacing w:after="120" w:before="0" w:line="276" w:lineRule="auto"/>
        <w:ind w:left="720" w:right="9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Cada estudiante es desafiado y comprometido mientras se brindan múltiples caminos para el éxito estudiantil ampliando oportunidades, construyendo sistemas de apoyo y eliminando barreras.</w:t>
      </w:r>
    </w:p>
    <w:p w:rsidR="00000000" w:rsidDel="00000000" w:rsidP="00000000" w:rsidRDefault="00000000" w:rsidRPr="00000000" w14:paraId="00000012">
      <w:pPr>
        <w:widowControl w:val="0"/>
        <w:numPr>
          <w:ilvl w:val="0"/>
          <w:numId w:val="1"/>
        </w:numPr>
        <w:spacing w:after="120" w:before="0" w:line="276" w:lineRule="auto"/>
        <w:ind w:left="720" w:right="9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Crear un entorno que fomente el crecimiento integral del niño al nutrir su crecimiento intelectual, físico, mental y socioemocional en entornos de aprendizaje saludables, seguros y de apoyo.</w:t>
      </w:r>
    </w:p>
    <w:p w:rsidR="00000000" w:rsidDel="00000000" w:rsidP="00000000" w:rsidRDefault="00000000" w:rsidRPr="00000000" w14:paraId="00000013">
      <w:pPr>
        <w:widowControl w:val="0"/>
        <w:numPr>
          <w:ilvl w:val="0"/>
          <w:numId w:val="1"/>
        </w:numPr>
        <w:spacing w:after="120" w:before="0" w:line="240" w:lineRule="auto"/>
        <w:ind w:left="720" w:right="9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Crear un entorno donde se utilice la tecnología para mejorar la enseñanza y el aprendizaje, así como los sistemas financieros y comerciales para brindar apoyo personalizado a estudiantes, padres y educadores.</w:t>
      </w:r>
    </w:p>
    <w:p w:rsidR="00000000" w:rsidDel="00000000" w:rsidP="00000000" w:rsidRDefault="00000000" w:rsidRPr="00000000" w14:paraId="00000014">
      <w:pPr>
        <w:widowControl w:val="0"/>
        <w:numPr>
          <w:ilvl w:val="0"/>
          <w:numId w:val="1"/>
        </w:numPr>
        <w:spacing w:after="120" w:before="0" w:line="276" w:lineRule="auto"/>
        <w:ind w:left="720" w:right="9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Reclutar, contratar, apoyar e invertir en docentes, líderes y personal de apoyo diversos y de alta calidad.</w:t>
      </w:r>
    </w:p>
    <w:p w:rsidR="00000000" w:rsidDel="00000000" w:rsidP="00000000" w:rsidRDefault="00000000" w:rsidRPr="00000000" w14:paraId="00000015">
      <w:pPr>
        <w:widowControl w:val="0"/>
        <w:numPr>
          <w:ilvl w:val="0"/>
          <w:numId w:val="1"/>
        </w:numPr>
        <w:spacing w:after="120" w:before="0" w:line="240" w:lineRule="auto"/>
        <w:ind w:left="720" w:right="9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Desarrollar conexiones sólidas entre las escuelas, las familias y la comunidad para ampliar las oportunidades de aprendizaje, desarrollo y crecimiento de los estudiantes.</w:t>
      </w:r>
    </w:p>
    <w:p w:rsidR="00000000" w:rsidDel="00000000" w:rsidP="00000000" w:rsidRDefault="00000000" w:rsidRPr="00000000" w14:paraId="00000016">
      <w:pPr>
        <w:widowControl w:val="0"/>
        <w:spacing w:after="120" w:before="280" w:line="240" w:lineRule="auto"/>
        <w:ind w:right="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Esperamos que sigan de cerca el progreso académico de su estudiante y colaboren con sus maestros para asegurar que se mantengan en el buen camino académico. Trabajando juntos como equipo, podemos mejorar no solo el rendimiento individual de nuestros estudiantes, sino también el de nuestra escuela en general. Para los administradores y maestros de la Escuela Primaria West Hoke, nada es más importante que asegurar que los estudiantes estén listos para el siguiente paso en sus carreras académicas. Espero con interés trabajar con ustedes para asegurar que su estudiante esté en el buen camino hacia el éxito.</w:t>
      </w:r>
    </w:p>
    <w:p w:rsidR="00000000" w:rsidDel="00000000" w:rsidP="00000000" w:rsidRDefault="00000000" w:rsidRPr="00000000" w14:paraId="00000017">
      <w:pPr>
        <w:widowControl w:val="0"/>
        <w:spacing w:after="120" w:line="240" w:lineRule="auto"/>
        <w:ind w:right="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tiene alguna pregunta o inquietud con respecto a nuestra calificación de desempeño escolar y cómo planeamos mejorar, no dude en comunicarse con la administración de la escuela al (910) 875-2584.</w:t>
      </w:r>
    </w:p>
    <w:p w:rsidR="00000000" w:rsidDel="00000000" w:rsidP="00000000" w:rsidRDefault="00000000" w:rsidRPr="00000000" w14:paraId="00000018">
      <w:pPr>
        <w:spacing w:line="240" w:lineRule="auto"/>
        <w:ind w:right="9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40" w:lineRule="auto"/>
        <w:ind w:right="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Atentamente, </w:t>
      </w:r>
    </w:p>
    <w:p w:rsidR="00000000" w:rsidDel="00000000" w:rsidP="00000000" w:rsidRDefault="00000000" w:rsidRPr="00000000" w14:paraId="0000001A">
      <w:pPr>
        <w:spacing w:line="240" w:lineRule="auto"/>
        <w:ind w:right="9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40" w:lineRule="auto"/>
        <w:ind w:right="9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40" w:lineRule="auto"/>
        <w:ind w:right="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Sherika Atkinson</w:t>
      </w:r>
      <w:r w:rsidDel="00000000" w:rsidR="00000000" w:rsidRPr="00000000">
        <w:rPr>
          <w:rtl w:val="0"/>
        </w:rPr>
      </w:r>
    </w:p>
    <w:p w:rsidR="00000000" w:rsidDel="00000000" w:rsidP="00000000" w:rsidRDefault="00000000" w:rsidRPr="00000000" w14:paraId="0000001D">
      <w:pPr>
        <w:spacing w:line="240" w:lineRule="auto"/>
        <w:ind w:right="9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w:t>
      </w:r>
      <w:r w:rsidDel="00000000" w:rsidR="00000000" w:rsidRPr="00000000">
        <w:rPr>
          <w:rtl w:val="0"/>
        </w:rPr>
      </w:r>
    </w:p>
    <w:p w:rsidR="00000000" w:rsidDel="00000000" w:rsidP="00000000" w:rsidRDefault="00000000" w:rsidRPr="00000000" w14:paraId="0000001E">
      <w:pPr>
        <w:spacing w:line="240" w:lineRule="auto"/>
        <w:rPr>
          <w:rFonts w:ascii="Glegoo" w:cs="Glegoo" w:eastAsia="Glegoo" w:hAnsi="Glegoo"/>
        </w:rPr>
      </w:pPr>
      <w:r w:rsidDel="00000000" w:rsidR="00000000" w:rsidRPr="00000000">
        <w:rPr>
          <w:rtl w:val="0"/>
        </w:rPr>
      </w:r>
    </w:p>
    <w:sectPr>
      <w:footerReference r:id="rId7" w:type="default"/>
      <w:pgSz w:h="15840" w:w="12240" w:orient="portrait"/>
      <w:pgMar w:bottom="144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lego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legoo-regular.ttf"/><Relationship Id="rId2" Type="http://schemas.openxmlformats.org/officeDocument/2006/relationships/font" Target="fonts/Glego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