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0AC69" w14:textId="55834108" w:rsidR="00BE4E42" w:rsidRDefault="00D431B3" w:rsidP="00D431B3">
      <w:pPr>
        <w:jc w:val="both"/>
      </w:pPr>
      <w:r>
        <w:t xml:space="preserve">The board of trustees believes that the safety and security of students, staff, and visitors are of the utmost importance.  </w:t>
      </w:r>
      <w:r w:rsidR="00E67C38">
        <w:t>The board further recognizes the importance of being prepared for emergencies that may occur while school is in session, during school transportation, or while activities are occurring on school property.  Such emergencies may include natural disasters or human-caused crises.  The purpose of this policy is to set forth guidelines for the development of emergency and disaster preparedness plans for district schools.</w:t>
      </w:r>
    </w:p>
    <w:p w14:paraId="2762B68F" w14:textId="11025FF2" w:rsidR="00E67C38" w:rsidRDefault="00E67C38" w:rsidP="00D431B3">
      <w:pPr>
        <w:jc w:val="both"/>
      </w:pPr>
    </w:p>
    <w:p w14:paraId="23279225" w14:textId="5C46C687" w:rsidR="00E67C38" w:rsidRDefault="00442813" w:rsidP="00D431B3">
      <w:pPr>
        <w:jc w:val="both"/>
        <w:rPr>
          <w:b/>
          <w:bCs/>
        </w:rPr>
      </w:pPr>
      <w:r>
        <w:rPr>
          <w:b/>
          <w:bCs/>
        </w:rPr>
        <w:t>EMERGENCY OPERATIONS PLANS REQUIRED</w:t>
      </w:r>
    </w:p>
    <w:p w14:paraId="223B1FF5" w14:textId="5145B798" w:rsidR="00442813" w:rsidRDefault="00442813" w:rsidP="00D431B3">
      <w:pPr>
        <w:jc w:val="both"/>
        <w:rPr>
          <w:b/>
          <w:bCs/>
        </w:rPr>
      </w:pPr>
    </w:p>
    <w:p w14:paraId="7AA127E5" w14:textId="40734659" w:rsidR="00442813" w:rsidRDefault="00442813" w:rsidP="00D431B3">
      <w:pPr>
        <w:jc w:val="both"/>
      </w:pPr>
      <w:r>
        <w:t xml:space="preserve">Building principals at all district schools are required to create and maintain an </w:t>
      </w:r>
      <w:proofErr w:type="gramStart"/>
      <w:r>
        <w:t>emergency operations</w:t>
      </w:r>
      <w:proofErr w:type="gramEnd"/>
      <w:r>
        <w:t xml:space="preserve"> plan that is approved by the board.  </w:t>
      </w:r>
      <w:r w:rsidR="00F16706">
        <w:t xml:space="preserve">Plans should address a variety of emergencies, including but not limited to:  severe weather, bus crashes, bomb threats, student or staff deaths, chemical or hazardous materials spills, fire, school shootings, medical emergencies, acts of terror or war, and natural disasters such as earthquakes or floods.  </w:t>
      </w:r>
      <w:r>
        <w:t xml:space="preserve">All plans shall be developed in coordination </w:t>
      </w:r>
      <w:r w:rsidR="00797853">
        <w:t xml:space="preserve">with </w:t>
      </w:r>
      <w:r w:rsidR="008734C5">
        <w:t>school staff and local emergency response agencies and shall meet the guidelines adopted by the Idaho School Safety and Security Advisory Board.  Such plans will be reviewed at least annually by each school and the board and updated as necessary.</w:t>
      </w:r>
      <w:r w:rsidR="00B6564F">
        <w:t xml:space="preserve">  Approved plans will be made available to students, parents, community members and local emergency partners.</w:t>
      </w:r>
    </w:p>
    <w:p w14:paraId="215E9BED" w14:textId="45909389" w:rsidR="00B83E9C" w:rsidRDefault="00B83E9C" w:rsidP="00D431B3">
      <w:pPr>
        <w:jc w:val="both"/>
      </w:pPr>
    </w:p>
    <w:p w14:paraId="5678D0B3" w14:textId="1CFB8DAF" w:rsidR="00B83E9C" w:rsidRPr="009976F8" w:rsidRDefault="00B83E9C" w:rsidP="00D431B3">
      <w:pPr>
        <w:jc w:val="both"/>
        <w:rPr>
          <w:iCs/>
        </w:rPr>
      </w:pPr>
      <w:r w:rsidRPr="009976F8">
        <w:rPr>
          <w:iCs/>
        </w:rPr>
        <w:t>In addition to each school emergency operations plan, the district will develop and maintain a crisis management plan to act as a guide for district trustees, administration, staff, students, parents and community members.  The crisis management plan will include procedures to be implemented at each school site in the event of an emergency.  The superintendent or designee shall be responsible for directing the development of the crisis management plan, utilizing</w:t>
      </w:r>
      <w:r w:rsidR="00C36113" w:rsidRPr="009976F8">
        <w:rPr>
          <w:iCs/>
        </w:rPr>
        <w:t xml:space="preserve"> guidelines adopted by the Idaho School Safety and Security Advisory Board and</w:t>
      </w:r>
      <w:r w:rsidRPr="009976F8">
        <w:rPr>
          <w:iCs/>
        </w:rPr>
        <w:t xml:space="preserve"> input from local emergency response partners, trustees, students, parents, and community members</w:t>
      </w:r>
      <w:r w:rsidR="00C36113" w:rsidRPr="009976F8">
        <w:rPr>
          <w:iCs/>
        </w:rPr>
        <w:t>.  The crisis management plan will be approved by the board and distributed to all schools, local emergency response partners, parents and community members.  The board will review the plan at least annually.</w:t>
      </w:r>
    </w:p>
    <w:p w14:paraId="580DB6C4" w14:textId="21297457" w:rsidR="008734C5" w:rsidRDefault="008734C5" w:rsidP="00D431B3">
      <w:pPr>
        <w:jc w:val="both"/>
      </w:pPr>
    </w:p>
    <w:p w14:paraId="4E61001A" w14:textId="08E2D1D1" w:rsidR="008734C5" w:rsidRDefault="008734C5" w:rsidP="00D431B3">
      <w:pPr>
        <w:jc w:val="both"/>
        <w:rPr>
          <w:b/>
          <w:bCs/>
        </w:rPr>
      </w:pPr>
      <w:r>
        <w:rPr>
          <w:b/>
          <w:bCs/>
        </w:rPr>
        <w:t>TRAINING</w:t>
      </w:r>
    </w:p>
    <w:p w14:paraId="0097E37F" w14:textId="5DFF24D3" w:rsidR="008734C5" w:rsidRDefault="008734C5" w:rsidP="00D431B3">
      <w:pPr>
        <w:jc w:val="both"/>
        <w:rPr>
          <w:b/>
          <w:bCs/>
        </w:rPr>
      </w:pPr>
    </w:p>
    <w:p w14:paraId="20349A82" w14:textId="2B9BC155" w:rsidR="008734C5" w:rsidRPr="009976F8" w:rsidRDefault="008734C5" w:rsidP="00D431B3">
      <w:pPr>
        <w:jc w:val="both"/>
      </w:pPr>
      <w:r>
        <w:t xml:space="preserve">All district staff are required to receive initial and annual emergency operations training that provides instruction on how to conduct exercises </w:t>
      </w:r>
      <w:r w:rsidR="00C36113">
        <w:t>to</w:t>
      </w:r>
      <w:r>
        <w:t xml:space="preserve"> respond to emergencies.  Such training will be in accordance with guidelines established by the Idaho School Safety and Security Advisory </w:t>
      </w:r>
      <w:r w:rsidRPr="009976F8">
        <w:t>Board.</w:t>
      </w:r>
      <w:r w:rsidR="00C36113" w:rsidRPr="009976F8">
        <w:t xml:space="preserve">  </w:t>
      </w:r>
      <w:r w:rsidR="00C36113" w:rsidRPr="009976F8">
        <w:rPr>
          <w:iCs/>
        </w:rPr>
        <w:t>Annual training will include the crisis management plan approved by the board.</w:t>
      </w:r>
    </w:p>
    <w:p w14:paraId="53E7B83C" w14:textId="7B93C237" w:rsidR="00B6564F" w:rsidRPr="009976F8" w:rsidRDefault="00B6564F" w:rsidP="00D431B3">
      <w:pPr>
        <w:jc w:val="both"/>
      </w:pPr>
    </w:p>
    <w:p w14:paraId="6E8EB1D0" w14:textId="14E56C2A" w:rsidR="00B6564F" w:rsidRPr="009976F8" w:rsidRDefault="00B6564F" w:rsidP="00D431B3">
      <w:pPr>
        <w:jc w:val="both"/>
        <w:rPr>
          <w:iCs/>
        </w:rPr>
      </w:pPr>
      <w:r w:rsidRPr="009976F8">
        <w:rPr>
          <w:iCs/>
        </w:rPr>
        <w:t xml:space="preserve">Students will also be instructed on emergency operations procedures and </w:t>
      </w:r>
      <w:r w:rsidR="00B83E9C" w:rsidRPr="009976F8">
        <w:rPr>
          <w:iCs/>
        </w:rPr>
        <w:t>may periodically practice the emergency procedures at their school.</w:t>
      </w:r>
    </w:p>
    <w:p w14:paraId="69A23676" w14:textId="77777777" w:rsidR="00E67C38" w:rsidRPr="009976F8" w:rsidRDefault="00E67C38" w:rsidP="00D431B3">
      <w:pPr>
        <w:jc w:val="both"/>
      </w:pPr>
    </w:p>
    <w:p w14:paraId="75032204"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lastRenderedPageBreak/>
        <w:t>♦ ♦ ♦ ♦ ♦ ♦ ♦</w:t>
      </w:r>
    </w:p>
    <w:p w14:paraId="143CE69F" w14:textId="77777777" w:rsidR="001B4570" w:rsidRDefault="001B4570" w:rsidP="001B4570">
      <w:pPr>
        <w:pStyle w:val="Header"/>
        <w:keepNext/>
        <w:tabs>
          <w:tab w:val="clear" w:pos="4320"/>
          <w:tab w:val="clear" w:pos="8640"/>
        </w:tabs>
        <w:rPr>
          <w:rFonts w:ascii="Arial" w:hAnsi="Arial" w:cs="Arial"/>
        </w:rPr>
      </w:pPr>
    </w:p>
    <w:p w14:paraId="7F681C47" w14:textId="4EAC9CA5"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4F0247A6" w14:textId="29434BC5" w:rsidR="00C36113" w:rsidRDefault="00C36113" w:rsidP="001B4570">
      <w:pPr>
        <w:pStyle w:val="Header"/>
        <w:keepNext/>
        <w:tabs>
          <w:tab w:val="clear" w:pos="4320"/>
          <w:tab w:val="clear" w:pos="8640"/>
        </w:tabs>
      </w:pPr>
      <w:r>
        <w:t>Idaho Code Sections</w:t>
      </w:r>
    </w:p>
    <w:p w14:paraId="7F16E1D4" w14:textId="621F6474" w:rsidR="00C36113" w:rsidRPr="00C36113" w:rsidRDefault="00C36113" w:rsidP="00C36113">
      <w:pPr>
        <w:pStyle w:val="Header"/>
        <w:keepNext/>
        <w:tabs>
          <w:tab w:val="clear" w:pos="4320"/>
          <w:tab w:val="clear" w:pos="8640"/>
        </w:tabs>
        <w:ind w:firstLine="720"/>
      </w:pPr>
      <w:r>
        <w:t xml:space="preserve">33-512(16) </w:t>
      </w:r>
      <w:r w:rsidR="002E2D79">
        <w:t>–</w:t>
      </w:r>
      <w:r>
        <w:t xml:space="preserve"> </w:t>
      </w:r>
      <w:r w:rsidR="002E2D79">
        <w:t>Governance of Schools (Safe Environment)</w:t>
      </w:r>
    </w:p>
    <w:p w14:paraId="5811CAAD" w14:textId="77777777" w:rsidR="001B4570" w:rsidRDefault="001B4570" w:rsidP="001B4570">
      <w:r>
        <w:tab/>
      </w:r>
      <w:r>
        <w:tab/>
      </w:r>
      <w:r>
        <w:tab/>
      </w:r>
    </w:p>
    <w:p w14:paraId="3D99247E" w14:textId="2B6EE4E0" w:rsidR="001B4570" w:rsidRPr="00A45684" w:rsidRDefault="001B4570" w:rsidP="001B4570">
      <w:pPr>
        <w:rPr>
          <w:rFonts w:ascii="Arial" w:hAnsi="Arial" w:cs="Arial"/>
          <w:b/>
        </w:rPr>
      </w:pPr>
      <w:r w:rsidRPr="00A45684">
        <w:rPr>
          <w:rFonts w:ascii="Arial" w:hAnsi="Arial" w:cs="Arial"/>
          <w:b/>
        </w:rPr>
        <w:t>ADOPTED:</w:t>
      </w:r>
      <w:r w:rsidRPr="00A45684">
        <w:rPr>
          <w:rFonts w:ascii="Arial" w:hAnsi="Arial" w:cs="Arial"/>
          <w:b/>
        </w:rPr>
        <w:tab/>
      </w:r>
      <w:r w:rsidR="009A142C">
        <w:rPr>
          <w:rFonts w:ascii="Arial" w:hAnsi="Arial" w:cs="Arial"/>
          <w:b/>
        </w:rPr>
        <w:t>August 11, 2025</w:t>
      </w:r>
      <w:bookmarkStart w:id="0" w:name="_GoBack"/>
      <w:bookmarkEnd w:id="0"/>
    </w:p>
    <w:p w14:paraId="3719C0DA" w14:textId="77777777" w:rsidR="001B4570" w:rsidRDefault="001B4570" w:rsidP="001B4570">
      <w:pPr>
        <w:pStyle w:val="Header"/>
        <w:keepNext/>
        <w:tabs>
          <w:tab w:val="clear" w:pos="4320"/>
          <w:tab w:val="clear" w:pos="8640"/>
        </w:tabs>
        <w:rPr>
          <w:rFonts w:ascii="Arial" w:hAnsi="Arial" w:cs="Arial"/>
        </w:rPr>
      </w:pPr>
    </w:p>
    <w:p w14:paraId="7208452E"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4252FBAF" w14:textId="77777777" w:rsidR="001B4570" w:rsidRDefault="001B4570" w:rsidP="001B4570">
      <w:pPr>
        <w:pStyle w:val="Header"/>
        <w:keepNext/>
        <w:tabs>
          <w:tab w:val="clear" w:pos="4320"/>
          <w:tab w:val="clear" w:pos="8640"/>
        </w:tabs>
        <w:rPr>
          <w:rFonts w:ascii="Arial" w:hAnsi="Arial" w:cs="Arial"/>
          <w:b/>
          <w:bCs/>
        </w:rPr>
      </w:pPr>
    </w:p>
    <w:p w14:paraId="5F493D2E" w14:textId="77777777" w:rsidR="00BE4E42" w:rsidRPr="00BE4E42" w:rsidRDefault="00BE4E42" w:rsidP="00BE4E42"/>
    <w:sectPr w:rsidR="00BE4E42"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E45A2" w14:textId="77777777" w:rsidR="00BF7D59" w:rsidRDefault="00BF7D59">
      <w:r>
        <w:separator/>
      </w:r>
    </w:p>
  </w:endnote>
  <w:endnote w:type="continuationSeparator" w:id="0">
    <w:p w14:paraId="65822001" w14:textId="77777777" w:rsidR="00BF7D59" w:rsidRDefault="00BF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4166" w14:textId="77777777" w:rsidR="004C53FC" w:rsidRDefault="004C53FC" w:rsidP="004C53FC">
    <w:pPr>
      <w:pStyle w:val="Footer"/>
      <w:pBdr>
        <w:bottom w:val="single" w:sz="12" w:space="1" w:color="auto"/>
      </w:pBdr>
      <w:rPr>
        <w:rFonts w:ascii="Arial" w:hAnsi="Arial" w:cs="Arial"/>
        <w:b/>
        <w:bCs/>
      </w:rPr>
    </w:pPr>
  </w:p>
  <w:p w14:paraId="3438AEE3" w14:textId="756941FD"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C36113">
      <w:rPr>
        <w:rFonts w:ascii="Arial" w:hAnsi="Arial" w:cs="Arial"/>
        <w:b/>
        <w:bCs/>
      </w:rPr>
      <w:t>9</w:t>
    </w:r>
    <w:r>
      <w:rPr>
        <w:rFonts w:ascii="Arial" w:hAnsi="Arial" w:cs="Arial"/>
        <w:b/>
        <w:bCs/>
      </w:rPr>
      <w:t xml:space="preserve">00: </w:t>
    </w:r>
    <w:r w:rsidR="00C36113">
      <w:rPr>
        <w:rFonts w:ascii="Arial" w:hAnsi="Arial" w:cs="Arial"/>
        <w:b/>
        <w:bCs/>
      </w:rPr>
      <w:t>BUILDINGS AND SITES</w:t>
    </w:r>
    <w:r>
      <w:rPr>
        <w:rFonts w:ascii="Arial" w:hAnsi="Arial" w:cs="Arial"/>
        <w:b/>
        <w:bCs/>
      </w:rPr>
      <w:tab/>
    </w:r>
    <w:r w:rsidR="0049773C">
      <w:rPr>
        <w:rFonts w:ascii="Arial" w:hAnsi="Arial" w:cs="Arial"/>
      </w:rPr>
      <w:t>© 20</w:t>
    </w:r>
    <w:r w:rsidR="002A49F1">
      <w:rPr>
        <w:rFonts w:ascii="Arial" w:hAnsi="Arial" w:cs="Arial"/>
      </w:rPr>
      <w:t>2</w:t>
    </w:r>
    <w:r w:rsidR="00C36113">
      <w:rPr>
        <w:rFonts w:ascii="Arial" w:hAnsi="Arial" w:cs="Arial"/>
      </w:rPr>
      <w:t>5</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14:paraId="7D9A0337" w14:textId="392EACEC"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C36113">
      <w:rPr>
        <w:rFonts w:ascii="Arial" w:hAnsi="Arial" w:cs="Arial"/>
        <w:sz w:val="16"/>
      </w:rPr>
      <w:t>05/16/25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01E2" w14:textId="77777777" w:rsidR="000D7EE8" w:rsidRDefault="000D7EE8" w:rsidP="000D7EE8">
    <w:pPr>
      <w:pStyle w:val="Footer"/>
      <w:pBdr>
        <w:bottom w:val="single" w:sz="12" w:space="1" w:color="auto"/>
      </w:pBdr>
      <w:rPr>
        <w:rFonts w:ascii="Arial" w:hAnsi="Arial" w:cs="Arial"/>
        <w:b/>
        <w:bCs/>
      </w:rPr>
    </w:pPr>
  </w:p>
  <w:p w14:paraId="70FBF073" w14:textId="73E666B1"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D431B3">
      <w:rPr>
        <w:rFonts w:ascii="Arial" w:hAnsi="Arial" w:cs="Arial"/>
        <w:b/>
        <w:bCs/>
      </w:rPr>
      <w:t>9</w:t>
    </w:r>
    <w:r w:rsidR="000D7EE8" w:rsidRPr="00604C65">
      <w:rPr>
        <w:rFonts w:ascii="Arial" w:hAnsi="Arial" w:cs="Arial"/>
        <w:b/>
        <w:bCs/>
      </w:rPr>
      <w:t xml:space="preserve">00: </w:t>
    </w:r>
    <w:r w:rsidR="00D431B3">
      <w:rPr>
        <w:rFonts w:ascii="Arial" w:hAnsi="Arial" w:cs="Arial"/>
        <w:b/>
        <w:bCs/>
      </w:rPr>
      <w:t>BUILDINGS AND SITES</w:t>
    </w:r>
    <w:r w:rsidR="000D7EE8">
      <w:rPr>
        <w:rFonts w:ascii="Arial" w:hAnsi="Arial" w:cs="Arial"/>
        <w:b/>
        <w:bCs/>
      </w:rPr>
      <w:tab/>
    </w:r>
    <w:r w:rsidR="0049773C">
      <w:rPr>
        <w:rFonts w:ascii="Arial" w:hAnsi="Arial" w:cs="Arial"/>
      </w:rPr>
      <w:t xml:space="preserve">© </w:t>
    </w:r>
    <w:r w:rsidR="002A49F1">
      <w:rPr>
        <w:rFonts w:ascii="Arial" w:hAnsi="Arial" w:cs="Arial"/>
      </w:rPr>
      <w:t>202</w:t>
    </w:r>
    <w:r w:rsidR="00D431B3">
      <w:rPr>
        <w:rFonts w:ascii="Arial" w:hAnsi="Arial" w:cs="Arial"/>
      </w:rPr>
      <w:t>5</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14:paraId="0C445235" w14:textId="6C715599"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D431B3">
      <w:rPr>
        <w:rFonts w:ascii="Arial" w:hAnsi="Arial" w:cs="Arial"/>
        <w:sz w:val="16"/>
      </w:rPr>
      <w:t>05/16/25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0B5CA" w14:textId="77777777" w:rsidR="00BF7D59" w:rsidRDefault="00BF7D59">
      <w:r>
        <w:separator/>
      </w:r>
    </w:p>
  </w:footnote>
  <w:footnote w:type="continuationSeparator" w:id="0">
    <w:p w14:paraId="72C778E7" w14:textId="77777777" w:rsidR="00BF7D59" w:rsidRDefault="00BF7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2D19A" w14:textId="0E604737" w:rsidR="00FD500E" w:rsidRPr="004C217E" w:rsidRDefault="00C36113"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Emergency Operations</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14:paraId="281FD1DF"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67C31214"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3CB67F3A" w14:textId="77777777">
      <w:trPr>
        <w:cantSplit/>
      </w:trPr>
      <w:tc>
        <w:tcPr>
          <w:tcW w:w="1980" w:type="dxa"/>
        </w:tcPr>
        <w:p w14:paraId="2A47C532" w14:textId="77777777" w:rsidR="00FD500E" w:rsidRPr="004C217E" w:rsidRDefault="00FD500E">
          <w:pPr>
            <w:pStyle w:val="Header"/>
            <w:rPr>
              <w:rFonts w:ascii="Arial" w:hAnsi="Arial" w:cs="Arial"/>
              <w:b/>
              <w:bCs/>
            </w:rPr>
          </w:pPr>
        </w:p>
        <w:p w14:paraId="1E64E2A3"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1F574808" w14:textId="77777777" w:rsidR="00FD500E" w:rsidRPr="004C217E" w:rsidRDefault="00FD500E">
          <w:pPr>
            <w:pStyle w:val="Header"/>
            <w:rPr>
              <w:rFonts w:ascii="Arial" w:hAnsi="Arial" w:cs="Arial"/>
              <w:b/>
              <w:bCs/>
            </w:rPr>
          </w:pPr>
        </w:p>
        <w:p w14:paraId="727312F3" w14:textId="122801F9" w:rsidR="008F021B" w:rsidRPr="004C217E" w:rsidRDefault="00D431B3" w:rsidP="00EA42DC">
          <w:pPr>
            <w:pStyle w:val="Header"/>
            <w:tabs>
              <w:tab w:val="clear" w:pos="4320"/>
              <w:tab w:val="clear" w:pos="8640"/>
            </w:tabs>
            <w:rPr>
              <w:rFonts w:ascii="Arial" w:hAnsi="Arial" w:cs="Arial"/>
              <w:b/>
              <w:bCs/>
            </w:rPr>
          </w:pPr>
          <w:r>
            <w:rPr>
              <w:rFonts w:ascii="Arial" w:hAnsi="Arial" w:cs="Arial"/>
              <w:b/>
              <w:bCs/>
            </w:rPr>
            <w:t>Emergency Operations</w:t>
          </w:r>
          <w:r w:rsidR="002A49F1" w:rsidRPr="004C217E">
            <w:rPr>
              <w:rFonts w:ascii="Arial" w:hAnsi="Arial" w:cs="Arial"/>
              <w:b/>
              <w:bCs/>
            </w:rPr>
            <w:t xml:space="preserve"> </w:t>
          </w:r>
        </w:p>
      </w:tc>
      <w:tc>
        <w:tcPr>
          <w:tcW w:w="2380" w:type="dxa"/>
        </w:tcPr>
        <w:p w14:paraId="43AAEF62" w14:textId="77777777" w:rsidR="00FD500E" w:rsidRPr="004C217E" w:rsidRDefault="00FD500E">
          <w:pPr>
            <w:pStyle w:val="Header"/>
            <w:rPr>
              <w:rFonts w:ascii="Arial" w:hAnsi="Arial" w:cs="Arial"/>
              <w:b/>
              <w:bCs/>
            </w:rPr>
          </w:pPr>
        </w:p>
        <w:p w14:paraId="0FAE6D3A" w14:textId="087E214E"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D431B3">
            <w:rPr>
              <w:rFonts w:ascii="Arial" w:hAnsi="Arial" w:cs="Arial"/>
              <w:b/>
              <w:bCs/>
            </w:rPr>
            <w:t>914</w:t>
          </w:r>
        </w:p>
        <w:p w14:paraId="31A10FC1" w14:textId="77777777"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2</w:t>
          </w:r>
          <w:r w:rsidRPr="004C217E">
            <w:rPr>
              <w:rFonts w:ascii="Arial" w:hAnsi="Arial" w:cs="Arial"/>
              <w:b/>
              <w:bCs/>
            </w:rPr>
            <w:t xml:space="preserve"> </w:t>
          </w:r>
        </w:p>
        <w:p w14:paraId="0AE6361C" w14:textId="77777777" w:rsidR="00FD500E" w:rsidRPr="004C217E" w:rsidRDefault="00FD500E">
          <w:pPr>
            <w:pStyle w:val="Header"/>
            <w:jc w:val="right"/>
            <w:rPr>
              <w:rFonts w:ascii="Arial" w:hAnsi="Arial" w:cs="Arial"/>
              <w:b/>
              <w:bCs/>
            </w:rPr>
          </w:pPr>
        </w:p>
      </w:tc>
    </w:tr>
  </w:tbl>
  <w:p w14:paraId="403BB09B"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8"/>
  </w:num>
  <w:num w:numId="12">
    <w:abstractNumId w:val="26"/>
  </w:num>
  <w:num w:numId="13">
    <w:abstractNumId w:val="5"/>
  </w:num>
  <w:num w:numId="14">
    <w:abstractNumId w:val="27"/>
  </w:num>
  <w:num w:numId="15">
    <w:abstractNumId w:val="12"/>
  </w:num>
  <w:num w:numId="16">
    <w:abstractNumId w:val="9"/>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4558"/>
    <w:rsid w:val="00006751"/>
    <w:rsid w:val="000167D6"/>
    <w:rsid w:val="000270DD"/>
    <w:rsid w:val="00073A08"/>
    <w:rsid w:val="00091A62"/>
    <w:rsid w:val="0009315D"/>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A49F1"/>
    <w:rsid w:val="002E2D79"/>
    <w:rsid w:val="0033150D"/>
    <w:rsid w:val="00353802"/>
    <w:rsid w:val="003617D0"/>
    <w:rsid w:val="00371E79"/>
    <w:rsid w:val="00394119"/>
    <w:rsid w:val="00414667"/>
    <w:rsid w:val="0043693A"/>
    <w:rsid w:val="00442813"/>
    <w:rsid w:val="00470E6E"/>
    <w:rsid w:val="0049773C"/>
    <w:rsid w:val="004C217E"/>
    <w:rsid w:val="004C2E85"/>
    <w:rsid w:val="004C53FC"/>
    <w:rsid w:val="004C5D81"/>
    <w:rsid w:val="00502D55"/>
    <w:rsid w:val="00511FDA"/>
    <w:rsid w:val="00516907"/>
    <w:rsid w:val="00580ECA"/>
    <w:rsid w:val="005A3708"/>
    <w:rsid w:val="005C2AD9"/>
    <w:rsid w:val="005C45DB"/>
    <w:rsid w:val="005F2EA5"/>
    <w:rsid w:val="00604C65"/>
    <w:rsid w:val="006173DB"/>
    <w:rsid w:val="00633C25"/>
    <w:rsid w:val="006A548E"/>
    <w:rsid w:val="006A7CFA"/>
    <w:rsid w:val="006E5949"/>
    <w:rsid w:val="006F08D7"/>
    <w:rsid w:val="006F10CA"/>
    <w:rsid w:val="006F649B"/>
    <w:rsid w:val="00766B21"/>
    <w:rsid w:val="00797853"/>
    <w:rsid w:val="007A3925"/>
    <w:rsid w:val="007A4E4B"/>
    <w:rsid w:val="007A531F"/>
    <w:rsid w:val="007F1ABF"/>
    <w:rsid w:val="007F76A2"/>
    <w:rsid w:val="0080073C"/>
    <w:rsid w:val="0080680A"/>
    <w:rsid w:val="00843244"/>
    <w:rsid w:val="0084510D"/>
    <w:rsid w:val="00860E8D"/>
    <w:rsid w:val="008705F1"/>
    <w:rsid w:val="008734C5"/>
    <w:rsid w:val="008A36EE"/>
    <w:rsid w:val="008B036E"/>
    <w:rsid w:val="008D5197"/>
    <w:rsid w:val="008E07AD"/>
    <w:rsid w:val="008F021B"/>
    <w:rsid w:val="008F0E3E"/>
    <w:rsid w:val="008F7E18"/>
    <w:rsid w:val="00901C1C"/>
    <w:rsid w:val="00916865"/>
    <w:rsid w:val="0093607A"/>
    <w:rsid w:val="00980F4B"/>
    <w:rsid w:val="0098306C"/>
    <w:rsid w:val="009834A0"/>
    <w:rsid w:val="009976F8"/>
    <w:rsid w:val="009A142C"/>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801"/>
    <w:rsid w:val="00AF297C"/>
    <w:rsid w:val="00B01738"/>
    <w:rsid w:val="00B10637"/>
    <w:rsid w:val="00B2431C"/>
    <w:rsid w:val="00B61A44"/>
    <w:rsid w:val="00B6564F"/>
    <w:rsid w:val="00B82F5E"/>
    <w:rsid w:val="00B83E9C"/>
    <w:rsid w:val="00B87B11"/>
    <w:rsid w:val="00BA4E70"/>
    <w:rsid w:val="00BC0EE1"/>
    <w:rsid w:val="00BC4137"/>
    <w:rsid w:val="00BC4A66"/>
    <w:rsid w:val="00BD3D49"/>
    <w:rsid w:val="00BE4E42"/>
    <w:rsid w:val="00BF7D59"/>
    <w:rsid w:val="00C10D68"/>
    <w:rsid w:val="00C36113"/>
    <w:rsid w:val="00C502A7"/>
    <w:rsid w:val="00C631D6"/>
    <w:rsid w:val="00CB1274"/>
    <w:rsid w:val="00CB49CE"/>
    <w:rsid w:val="00CC04FC"/>
    <w:rsid w:val="00CC198C"/>
    <w:rsid w:val="00D06CEC"/>
    <w:rsid w:val="00D431B3"/>
    <w:rsid w:val="00D661ED"/>
    <w:rsid w:val="00D703FB"/>
    <w:rsid w:val="00D77D1A"/>
    <w:rsid w:val="00DF5E71"/>
    <w:rsid w:val="00E03A26"/>
    <w:rsid w:val="00E27406"/>
    <w:rsid w:val="00E323D7"/>
    <w:rsid w:val="00E5078B"/>
    <w:rsid w:val="00E64D6E"/>
    <w:rsid w:val="00E66B2A"/>
    <w:rsid w:val="00E67C38"/>
    <w:rsid w:val="00E80C98"/>
    <w:rsid w:val="00EA2EA2"/>
    <w:rsid w:val="00EA42DC"/>
    <w:rsid w:val="00EF777A"/>
    <w:rsid w:val="00F16706"/>
    <w:rsid w:val="00F22792"/>
    <w:rsid w:val="00F35075"/>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AD5CE2"/>
  <w15:chartTrackingRefBased/>
  <w15:docId w15:val="{956375C7-4BF9-4018-B515-C80195D3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E0D1E-7455-47D3-A32B-5C2C87AA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2</cp:revision>
  <cp:lastPrinted>2001-07-25T22:21:00Z</cp:lastPrinted>
  <dcterms:created xsi:type="dcterms:W3CDTF">2026-01-16T18:36:00Z</dcterms:created>
  <dcterms:modified xsi:type="dcterms:W3CDTF">2026-01-16T18:36:00Z</dcterms:modified>
</cp:coreProperties>
</file>