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1910F" w14:textId="6763F07C" w:rsidR="00E163D1" w:rsidRDefault="00E163D1" w:rsidP="003F0D92">
      <w:pPr>
        <w:pStyle w:val="NoSpacing"/>
        <w:jc w:val="both"/>
        <w:rPr>
          <w:i/>
        </w:rPr>
      </w:pPr>
      <w:r w:rsidRPr="00046F23">
        <w:t xml:space="preserve">An impartial </w:t>
      </w:r>
      <w:r w:rsidR="00771988">
        <w:t xml:space="preserve">due process </w:t>
      </w:r>
      <w:r w:rsidRPr="00046F23">
        <w:t>hearing procedure is available to students and their parent</w:t>
      </w:r>
      <w:r>
        <w:t>/guardian</w:t>
      </w:r>
      <w:r w:rsidRPr="00046F23">
        <w:t xml:space="preserve"> </w:t>
      </w:r>
      <w:r w:rsidR="00FD4216">
        <w:t xml:space="preserve">if they disagree with a decision regarding the identification, evaluation, or educational placement of the student who is identified as having a disability pursuant to Section 504 of the Rehabilitation Act of 1973 (Section 504).  The student shall remain in his or her current educational placement until the matter has been resolved through the process set forth herein.  </w:t>
      </w:r>
      <w:r w:rsidRPr="003534C2">
        <w:t xml:space="preserve">Students and their parent/guardian are encouraged to use </w:t>
      </w:r>
      <w:r w:rsidR="00A95A14" w:rsidRPr="003534C2">
        <w:t xml:space="preserve">the </w:t>
      </w:r>
      <w:r w:rsidRPr="003534C2">
        <w:t xml:space="preserve">district’s civil rights grievance procedure (see Policy No. 296P1, Civil Rights Grievance Procedure) </w:t>
      </w:r>
      <w:r w:rsidR="00FE3E95" w:rsidRPr="003534C2">
        <w:t>whenever there is an allegation that the district or any of its employees has engaged in discrimination or harassment of a student based on the student’s disability</w:t>
      </w:r>
      <w:r w:rsidRPr="003534C2">
        <w:t>.</w:t>
      </w:r>
    </w:p>
    <w:p w14:paraId="12E6CE9C" w14:textId="6900F8C0" w:rsidR="00E163D1" w:rsidRDefault="00E163D1" w:rsidP="00E163D1">
      <w:pPr>
        <w:pStyle w:val="NoSpacing"/>
        <w:rPr>
          <w:i/>
        </w:rPr>
      </w:pPr>
    </w:p>
    <w:p w14:paraId="313A8556" w14:textId="77777777" w:rsidR="00E163D1" w:rsidRDefault="00E163D1" w:rsidP="00E163D1">
      <w:pPr>
        <w:pStyle w:val="NoSpacing"/>
        <w:rPr>
          <w:b/>
        </w:rPr>
      </w:pPr>
      <w:r w:rsidRPr="00D27F45">
        <w:rPr>
          <w:b/>
        </w:rPr>
        <w:t>HEARING PROCEDURES</w:t>
      </w:r>
    </w:p>
    <w:p w14:paraId="2D19F97A" w14:textId="77777777" w:rsidR="00E163D1" w:rsidRPr="00D27F45" w:rsidRDefault="00E163D1" w:rsidP="00E163D1">
      <w:pPr>
        <w:pStyle w:val="NoSpacing"/>
        <w:rPr>
          <w:b/>
        </w:rPr>
      </w:pPr>
    </w:p>
    <w:p w14:paraId="588490DD" w14:textId="4D92D7AC" w:rsidR="00E163D1" w:rsidRDefault="00E163D1" w:rsidP="003F0D92">
      <w:pPr>
        <w:pStyle w:val="NoSpacing"/>
        <w:jc w:val="both"/>
      </w:pPr>
      <w:r w:rsidRPr="003534C2">
        <w:t>Within twenty (20) calendar days of the parent/guardian’s receipt of notice of the 504 team’s decision, a</w:t>
      </w:r>
      <w:r w:rsidRPr="00046F23">
        <w:t xml:space="preserve"> Section 504 impartial hearing may be requested by </w:t>
      </w:r>
      <w:r>
        <w:t>the</w:t>
      </w:r>
      <w:r w:rsidRPr="00046F23">
        <w:t xml:space="preserve"> parent</w:t>
      </w:r>
      <w:r>
        <w:t>/guardian</w:t>
      </w:r>
      <w:r w:rsidRPr="00046F23">
        <w:t xml:space="preserve"> of </w:t>
      </w:r>
      <w:r>
        <w:t>the</w:t>
      </w:r>
      <w:r w:rsidRPr="00046F23">
        <w:t xml:space="preserve"> affected student on matters </w:t>
      </w:r>
      <w:r w:rsidR="00FE3E95" w:rsidRPr="00046F23">
        <w:t>related</w:t>
      </w:r>
      <w:r w:rsidRPr="00046F23">
        <w:t xml:space="preserve"> to the school district’s decisions or actions regarding the following:</w:t>
      </w:r>
    </w:p>
    <w:p w14:paraId="70B65C6D" w14:textId="77777777" w:rsidR="00E163D1" w:rsidRDefault="00E163D1" w:rsidP="00E163D1">
      <w:pPr>
        <w:pStyle w:val="NoSpacing"/>
      </w:pPr>
    </w:p>
    <w:p w14:paraId="1F04C240" w14:textId="1568C8E4" w:rsidR="00E163D1" w:rsidRDefault="00E163D1" w:rsidP="003F0D92">
      <w:pPr>
        <w:pStyle w:val="NoSpacing"/>
        <w:numPr>
          <w:ilvl w:val="0"/>
          <w:numId w:val="29"/>
        </w:numPr>
        <w:spacing w:line="276" w:lineRule="auto"/>
        <w:ind w:hanging="360"/>
        <w:jc w:val="both"/>
      </w:pPr>
      <w:r w:rsidRPr="00046F23">
        <w:t xml:space="preserve">The identification of </w:t>
      </w:r>
      <w:r>
        <w:t>the</w:t>
      </w:r>
      <w:r w:rsidRPr="00046F23">
        <w:t xml:space="preserve"> student as disabled or eligibility of </w:t>
      </w:r>
      <w:r>
        <w:t>the</w:t>
      </w:r>
      <w:r w:rsidRPr="00046F23">
        <w:t xml:space="preserve"> student</w:t>
      </w:r>
      <w:r>
        <w:t xml:space="preserve"> for services</w:t>
      </w:r>
      <w:r w:rsidRPr="00046F23">
        <w:t xml:space="preserve"> under Section 504</w:t>
      </w:r>
      <w:r w:rsidR="00FE3E95">
        <w:t>;</w:t>
      </w:r>
    </w:p>
    <w:p w14:paraId="62416B0B" w14:textId="6FEF906B" w:rsidR="00E163D1" w:rsidRDefault="00E163D1" w:rsidP="003F0D92">
      <w:pPr>
        <w:pStyle w:val="NoSpacing"/>
        <w:numPr>
          <w:ilvl w:val="0"/>
          <w:numId w:val="29"/>
        </w:numPr>
        <w:spacing w:line="276" w:lineRule="auto"/>
        <w:ind w:hanging="360"/>
        <w:jc w:val="both"/>
      </w:pPr>
      <w:r w:rsidRPr="00046F23">
        <w:t>The evaluation procedures utilized with the student, including a decision not to evaluate a student</w:t>
      </w:r>
      <w:r w:rsidR="00FE3E95">
        <w:t>; and/or</w:t>
      </w:r>
    </w:p>
    <w:p w14:paraId="60615E7A" w14:textId="54843E8C" w:rsidR="00E163D1" w:rsidRPr="00046F23" w:rsidRDefault="00E163D1" w:rsidP="003F0D92">
      <w:pPr>
        <w:pStyle w:val="NoSpacing"/>
        <w:numPr>
          <w:ilvl w:val="0"/>
          <w:numId w:val="29"/>
        </w:numPr>
        <w:spacing w:line="276" w:lineRule="auto"/>
        <w:ind w:hanging="360"/>
        <w:jc w:val="both"/>
      </w:pPr>
      <w:r w:rsidRPr="00046F23">
        <w:t xml:space="preserve">The educational placement and/or related aids and services recommended for or provided to the student, including any change in placement </w:t>
      </w:r>
      <w:r w:rsidR="00FE3E95" w:rsidRPr="00046F23">
        <w:t>because of</w:t>
      </w:r>
      <w:r w:rsidRPr="00046F23">
        <w:t xml:space="preserve"> disciplinary action.</w:t>
      </w:r>
    </w:p>
    <w:p w14:paraId="1272549A" w14:textId="77777777" w:rsidR="00E163D1" w:rsidRPr="00046F23" w:rsidRDefault="00E163D1" w:rsidP="003F0D92">
      <w:pPr>
        <w:pStyle w:val="NoSpacing"/>
        <w:jc w:val="both"/>
      </w:pPr>
    </w:p>
    <w:p w14:paraId="4724601A" w14:textId="77777777" w:rsidR="00E163D1" w:rsidRPr="003534C2" w:rsidRDefault="00E163D1" w:rsidP="003F0D92">
      <w:pPr>
        <w:autoSpaceDE w:val="0"/>
        <w:autoSpaceDN w:val="0"/>
        <w:adjustRightInd w:val="0"/>
        <w:jc w:val="both"/>
        <w:rPr>
          <w:szCs w:val="24"/>
        </w:rPr>
      </w:pPr>
      <w:r w:rsidRPr="003534C2">
        <w:rPr>
          <w:szCs w:val="24"/>
        </w:rPr>
        <w:t>In the event a hearing has been held, or is pending, pursuant to the provisions of the Individuals with Disabilities Education Act (IDEA) on any of the issues currently being alleged by the parent/guardian, no hearing officer will be appointed and no hearing will be held on like issues pursuant to this policy. An IDEA hearing that is resolved by a decision or dismissed with prejudice shall resolve any like issues for which a Section 504 hearing has been requested.</w:t>
      </w:r>
    </w:p>
    <w:p w14:paraId="59879C36" w14:textId="77777777" w:rsidR="00E163D1" w:rsidRDefault="00E163D1" w:rsidP="003F0D92">
      <w:pPr>
        <w:pStyle w:val="NoSpacing"/>
        <w:jc w:val="both"/>
      </w:pPr>
    </w:p>
    <w:p w14:paraId="4280AA7E" w14:textId="77777777" w:rsidR="00E163D1" w:rsidRDefault="00E163D1" w:rsidP="003F0D92">
      <w:pPr>
        <w:pStyle w:val="NoSpacing"/>
        <w:jc w:val="both"/>
      </w:pPr>
      <w:r w:rsidRPr="00046F23">
        <w:t xml:space="preserve">All requests for a </w:t>
      </w:r>
      <w:r>
        <w:t xml:space="preserve">Section 504 </w:t>
      </w:r>
      <w:r w:rsidRPr="00046F23">
        <w:t>hearing under this policy must</w:t>
      </w:r>
      <w:r>
        <w:t>:</w:t>
      </w:r>
    </w:p>
    <w:p w14:paraId="5D198CAC" w14:textId="77777777" w:rsidR="00E163D1" w:rsidRDefault="00E163D1" w:rsidP="003F0D92">
      <w:pPr>
        <w:pStyle w:val="NoSpacing"/>
        <w:jc w:val="both"/>
      </w:pPr>
    </w:p>
    <w:p w14:paraId="383687B7" w14:textId="70606D6E" w:rsidR="00E163D1" w:rsidRDefault="00E163D1" w:rsidP="003F0D92">
      <w:pPr>
        <w:pStyle w:val="NoSpacing"/>
        <w:numPr>
          <w:ilvl w:val="0"/>
          <w:numId w:val="30"/>
        </w:numPr>
        <w:spacing w:line="276" w:lineRule="auto"/>
        <w:ind w:hanging="360"/>
        <w:jc w:val="both"/>
      </w:pPr>
      <w:r>
        <w:t>B</w:t>
      </w:r>
      <w:r w:rsidRPr="00046F23">
        <w:t xml:space="preserve">e submitted in writing </w:t>
      </w:r>
      <w:r>
        <w:t xml:space="preserve">and </w:t>
      </w:r>
      <w:r w:rsidRPr="00046F23">
        <w:t>addressed to the</w:t>
      </w:r>
      <w:r>
        <w:t xml:space="preserve"> district’s </w:t>
      </w:r>
      <w:r w:rsidRPr="003534C2">
        <w:t>Section 504 Compliance Officer.</w:t>
      </w:r>
    </w:p>
    <w:p w14:paraId="6DA10FEA" w14:textId="77777777" w:rsidR="00E163D1" w:rsidRDefault="00E163D1" w:rsidP="003F0D92">
      <w:pPr>
        <w:pStyle w:val="NoSpacing"/>
        <w:numPr>
          <w:ilvl w:val="0"/>
          <w:numId w:val="30"/>
        </w:numPr>
        <w:spacing w:line="276" w:lineRule="auto"/>
        <w:ind w:hanging="360"/>
        <w:jc w:val="both"/>
      </w:pPr>
      <w:r>
        <w:t>Describe the specific nature of the dispute.</w:t>
      </w:r>
    </w:p>
    <w:p w14:paraId="45D8F3FE" w14:textId="77777777" w:rsidR="00E163D1" w:rsidRDefault="00E163D1" w:rsidP="003F0D92">
      <w:pPr>
        <w:pStyle w:val="NoSpacing"/>
        <w:numPr>
          <w:ilvl w:val="0"/>
          <w:numId w:val="30"/>
        </w:numPr>
        <w:spacing w:line="276" w:lineRule="auto"/>
        <w:ind w:hanging="360"/>
        <w:jc w:val="both"/>
      </w:pPr>
      <w:r>
        <w:t>State the proposed</w:t>
      </w:r>
      <w:r w:rsidRPr="00046F23">
        <w:t xml:space="preserve"> speci</w:t>
      </w:r>
      <w:r>
        <w:t>fic relief or remedy requested.</w:t>
      </w:r>
    </w:p>
    <w:p w14:paraId="5D7F7AE2" w14:textId="77777777" w:rsidR="00E163D1" w:rsidRDefault="00E163D1" w:rsidP="003F0D92">
      <w:pPr>
        <w:pStyle w:val="NoSpacing"/>
        <w:numPr>
          <w:ilvl w:val="0"/>
          <w:numId w:val="30"/>
        </w:numPr>
        <w:spacing w:line="276" w:lineRule="auto"/>
        <w:ind w:hanging="360"/>
        <w:jc w:val="both"/>
      </w:pPr>
      <w:r>
        <w:t>Provide a</w:t>
      </w:r>
      <w:r w:rsidRPr="00046F23">
        <w:t>ny other information the parent</w:t>
      </w:r>
      <w:r>
        <w:t>/guardian</w:t>
      </w:r>
      <w:r w:rsidRPr="00046F23">
        <w:t xml:space="preserve"> believe</w:t>
      </w:r>
      <w:r>
        <w:t>s</w:t>
      </w:r>
      <w:r w:rsidRPr="00046F23">
        <w:t xml:space="preserve"> is important to understanding the dispute.</w:t>
      </w:r>
    </w:p>
    <w:p w14:paraId="7E9A1BB2" w14:textId="77777777" w:rsidR="00E163D1" w:rsidRDefault="00E163D1" w:rsidP="003F0D92">
      <w:pPr>
        <w:pStyle w:val="NoSpacing"/>
        <w:spacing w:line="276" w:lineRule="auto"/>
        <w:ind w:left="1080"/>
        <w:jc w:val="both"/>
      </w:pPr>
    </w:p>
    <w:p w14:paraId="79257592" w14:textId="0FC25316" w:rsidR="00E163D1" w:rsidRPr="003534C2" w:rsidRDefault="00E163D1" w:rsidP="003F0D92">
      <w:pPr>
        <w:pStyle w:val="NoSpacing"/>
        <w:jc w:val="both"/>
      </w:pPr>
      <w:r w:rsidRPr="003534C2">
        <w:t xml:space="preserve">If the request does not include </w:t>
      </w:r>
      <w:r w:rsidR="00A95A14" w:rsidRPr="003534C2">
        <w:t>all</w:t>
      </w:r>
      <w:r w:rsidRPr="003534C2">
        <w:t xml:space="preserve"> required information, it may be returned to the grievant within ten (10) school days of receipt by the Section 504 Compliance Officer with a request to provide the missing information within five (5) school days from the date of receipt.  The remaining </w:t>
      </w:r>
      <w:r w:rsidRPr="003534C2">
        <w:lastRenderedPageBreak/>
        <w:t>procedures will be suspended</w:t>
      </w:r>
      <w:r w:rsidR="00A95A14" w:rsidRPr="003534C2">
        <w:t>,</w:t>
      </w:r>
      <w:r w:rsidRPr="003534C2">
        <w:t xml:space="preserve"> and the timelines will not run until the additional information is received.</w:t>
      </w:r>
    </w:p>
    <w:p w14:paraId="2D1C5043" w14:textId="77777777" w:rsidR="00E163D1" w:rsidRPr="00046F23" w:rsidRDefault="00E163D1" w:rsidP="003F0D92">
      <w:pPr>
        <w:pStyle w:val="NoSpacing"/>
        <w:jc w:val="both"/>
      </w:pPr>
    </w:p>
    <w:p w14:paraId="323FD54F" w14:textId="3F7B3C18" w:rsidR="00E163D1" w:rsidRPr="003534C2" w:rsidRDefault="00E163D1" w:rsidP="003F0D92">
      <w:pPr>
        <w:pStyle w:val="NoSpacing"/>
        <w:jc w:val="both"/>
      </w:pPr>
      <w:r w:rsidRPr="003534C2">
        <w:t>The Section 504 Compliance Officer will select an impartial hearing officer</w:t>
      </w:r>
      <w:r w:rsidR="00306B46" w:rsidRPr="003534C2">
        <w:t xml:space="preserve"> and notify the parent/guardian and all other interested parties of the selection of the impartial hearing officer</w:t>
      </w:r>
      <w:r w:rsidRPr="003534C2">
        <w:t xml:space="preserve"> within fifteen (15) calendar days of receipt of the request for a Section 504 hearing.  The selected hearing officer will:</w:t>
      </w:r>
    </w:p>
    <w:p w14:paraId="55E70FAA" w14:textId="77777777" w:rsidR="00E163D1" w:rsidRDefault="00E163D1" w:rsidP="003F0D92">
      <w:pPr>
        <w:pStyle w:val="NoSpacing"/>
        <w:jc w:val="both"/>
      </w:pPr>
    </w:p>
    <w:p w14:paraId="1C50D00A" w14:textId="77777777" w:rsidR="00E163D1" w:rsidRDefault="00E163D1" w:rsidP="003F0D92">
      <w:pPr>
        <w:pStyle w:val="NoSpacing"/>
        <w:numPr>
          <w:ilvl w:val="0"/>
          <w:numId w:val="31"/>
        </w:numPr>
        <w:spacing w:line="276" w:lineRule="auto"/>
        <w:ind w:hanging="360"/>
        <w:jc w:val="both"/>
      </w:pPr>
      <w:r w:rsidRPr="00046F23">
        <w:t>Be qualified to review school district decisions relating to Section 504</w:t>
      </w:r>
      <w:r>
        <w:t>.</w:t>
      </w:r>
    </w:p>
    <w:p w14:paraId="23AE8E3A" w14:textId="77777777" w:rsidR="00E163D1" w:rsidRDefault="00E163D1" w:rsidP="003F0D92">
      <w:pPr>
        <w:pStyle w:val="NoSpacing"/>
        <w:numPr>
          <w:ilvl w:val="0"/>
          <w:numId w:val="31"/>
        </w:numPr>
        <w:spacing w:line="276" w:lineRule="auto"/>
        <w:ind w:hanging="360"/>
        <w:jc w:val="both"/>
      </w:pPr>
      <w:r w:rsidRPr="00046F23">
        <w:t>Be impartial and unbiased</w:t>
      </w:r>
      <w:r>
        <w:t>.</w:t>
      </w:r>
    </w:p>
    <w:p w14:paraId="78F80119" w14:textId="77777777" w:rsidR="00E163D1" w:rsidRDefault="00E163D1" w:rsidP="003F0D92">
      <w:pPr>
        <w:pStyle w:val="NoSpacing"/>
        <w:numPr>
          <w:ilvl w:val="0"/>
          <w:numId w:val="31"/>
        </w:numPr>
        <w:spacing w:line="276" w:lineRule="auto"/>
        <w:ind w:hanging="360"/>
        <w:jc w:val="both"/>
      </w:pPr>
      <w:r w:rsidRPr="00046F23">
        <w:t>Not be an employee of the school district.</w:t>
      </w:r>
    </w:p>
    <w:p w14:paraId="5D4F1AEF" w14:textId="77777777" w:rsidR="00E163D1" w:rsidRDefault="00E163D1" w:rsidP="003F0D92">
      <w:pPr>
        <w:pStyle w:val="NoSpacing"/>
        <w:ind w:left="1080"/>
        <w:jc w:val="both"/>
      </w:pPr>
    </w:p>
    <w:p w14:paraId="3EC93098" w14:textId="77777777" w:rsidR="00E163D1" w:rsidRPr="003534C2" w:rsidRDefault="00E163D1" w:rsidP="003F0D92">
      <w:pPr>
        <w:pStyle w:val="NoSpacing"/>
        <w:jc w:val="both"/>
      </w:pPr>
      <w:r w:rsidRPr="003534C2">
        <w:t>The hearing procedure will be presided over and decided by the appointed impartial hearing officer, but shall be limited as follows:</w:t>
      </w:r>
    </w:p>
    <w:p w14:paraId="475A1507" w14:textId="77777777" w:rsidR="00E163D1" w:rsidRPr="003534C2" w:rsidRDefault="00E163D1" w:rsidP="003F0D92">
      <w:pPr>
        <w:pStyle w:val="NoSpacing"/>
        <w:jc w:val="both"/>
      </w:pPr>
    </w:p>
    <w:p w14:paraId="65E59744" w14:textId="77777777" w:rsidR="00E163D1" w:rsidRPr="003534C2" w:rsidRDefault="00E163D1" w:rsidP="003F0D92">
      <w:pPr>
        <w:pStyle w:val="NoSpacing"/>
        <w:numPr>
          <w:ilvl w:val="0"/>
          <w:numId w:val="32"/>
        </w:numPr>
        <w:spacing w:line="276" w:lineRule="auto"/>
        <w:ind w:hanging="360"/>
        <w:jc w:val="both"/>
      </w:pPr>
      <w:r w:rsidRPr="003534C2">
        <w:t>The hearing is limited to facts within two (2) years of the date the parent/guardian knew or should have known about the alleged actions or facts that form the basis of their claims.</w:t>
      </w:r>
    </w:p>
    <w:p w14:paraId="0A6CE3A5" w14:textId="77777777" w:rsidR="00E163D1" w:rsidRPr="003534C2" w:rsidRDefault="00E163D1" w:rsidP="003F0D92">
      <w:pPr>
        <w:pStyle w:val="NoSpacing"/>
        <w:numPr>
          <w:ilvl w:val="0"/>
          <w:numId w:val="32"/>
        </w:numPr>
        <w:spacing w:line="276" w:lineRule="auto"/>
        <w:ind w:hanging="360"/>
        <w:jc w:val="both"/>
      </w:pPr>
      <w:r w:rsidRPr="003534C2">
        <w:t>The hearing officer’s procedures will conform to the standard of “fundamental fairness.”  The Administrative Procedures Act (APA) and IDEA procedures shall not apply to the hearings.</w:t>
      </w:r>
    </w:p>
    <w:p w14:paraId="74A29DEE" w14:textId="77777777" w:rsidR="00E163D1" w:rsidRPr="003534C2" w:rsidRDefault="00E163D1" w:rsidP="003F0D92">
      <w:pPr>
        <w:pStyle w:val="NoSpacing"/>
        <w:numPr>
          <w:ilvl w:val="0"/>
          <w:numId w:val="32"/>
        </w:numPr>
        <w:spacing w:line="276" w:lineRule="auto"/>
        <w:ind w:hanging="360"/>
        <w:jc w:val="both"/>
      </w:pPr>
      <w:r w:rsidRPr="003534C2">
        <w:t>The issues of the hearing will be limited to those specifically raised in the written request for hearing.</w:t>
      </w:r>
    </w:p>
    <w:p w14:paraId="785601B5" w14:textId="77777777" w:rsidR="00E163D1" w:rsidRPr="003534C2" w:rsidRDefault="00E163D1" w:rsidP="003F0D92">
      <w:pPr>
        <w:pStyle w:val="NoSpacing"/>
        <w:numPr>
          <w:ilvl w:val="0"/>
          <w:numId w:val="32"/>
        </w:numPr>
        <w:spacing w:line="276" w:lineRule="auto"/>
        <w:ind w:hanging="360"/>
        <w:jc w:val="both"/>
      </w:pPr>
      <w:r w:rsidRPr="003534C2">
        <w:t>The party requesting the due process hearing shall carry the burden of proving the claims asserted.</w:t>
      </w:r>
    </w:p>
    <w:p w14:paraId="526C25C2" w14:textId="77777777" w:rsidR="00FE3E95" w:rsidRDefault="00FE3E95" w:rsidP="003F0D92">
      <w:pPr>
        <w:pStyle w:val="NoSpacing"/>
        <w:jc w:val="both"/>
        <w:rPr>
          <w:i/>
        </w:rPr>
      </w:pPr>
    </w:p>
    <w:p w14:paraId="503F2BED" w14:textId="7A7A658E" w:rsidR="00E163D1" w:rsidRPr="003534C2" w:rsidRDefault="00E163D1" w:rsidP="00452C78">
      <w:pPr>
        <w:pStyle w:val="NoSpacing"/>
        <w:jc w:val="both"/>
      </w:pPr>
      <w:r w:rsidRPr="003534C2">
        <w:t xml:space="preserve">The selected hearing officer will </w:t>
      </w:r>
      <w:r w:rsidR="00FE3E95" w:rsidRPr="003534C2">
        <w:t>schedule a prehearing conference to set a date and time for the hearing, identify the issues to be heard, and stipulate</w:t>
      </w:r>
      <w:r w:rsidR="0055426D" w:rsidRPr="003534C2">
        <w:t xml:space="preserve"> to undisputed facts to narrow the contested factual issues</w:t>
      </w:r>
      <w:r w:rsidRPr="003534C2">
        <w:t>.  The parent/guardian and the school district will be given at least ten (10) calendar days</w:t>
      </w:r>
      <w:r w:rsidR="00DD1E70" w:rsidRPr="003534C2">
        <w:t>’</w:t>
      </w:r>
      <w:r w:rsidRPr="003534C2">
        <w:t xml:space="preserve"> notice of the date</w:t>
      </w:r>
      <w:r w:rsidR="00DD1E70" w:rsidRPr="003534C2">
        <w:t>, time and location</w:t>
      </w:r>
      <w:r w:rsidRPr="003534C2">
        <w:t xml:space="preserve"> of the hearing</w:t>
      </w:r>
      <w:r w:rsidR="00DD1E70" w:rsidRPr="003534C2">
        <w:t>, together with any other information decided at the prehearing conference</w:t>
      </w:r>
      <w:r w:rsidRPr="003534C2">
        <w:t xml:space="preserve">.  </w:t>
      </w:r>
    </w:p>
    <w:p w14:paraId="22850D20" w14:textId="77777777" w:rsidR="00E163D1" w:rsidRPr="00046F23" w:rsidRDefault="00E163D1" w:rsidP="003F0D92">
      <w:pPr>
        <w:pStyle w:val="NoSpacing"/>
        <w:spacing w:line="276" w:lineRule="auto"/>
        <w:jc w:val="both"/>
      </w:pPr>
    </w:p>
    <w:p w14:paraId="41051554" w14:textId="4DF1998D" w:rsidR="00120504" w:rsidRPr="00046F23" w:rsidRDefault="00E163D1" w:rsidP="00120504">
      <w:pPr>
        <w:pStyle w:val="NoSpacing"/>
        <w:jc w:val="both"/>
      </w:pPr>
      <w:r w:rsidRPr="00046F23">
        <w:t>All written correspondence will be provided in English and/or in the parent</w:t>
      </w:r>
      <w:r>
        <w:t>/guardian’</w:t>
      </w:r>
      <w:r w:rsidRPr="00046F23">
        <w:t>s primary language.</w:t>
      </w:r>
      <w:r w:rsidR="00120504">
        <w:t xml:space="preserve">  </w:t>
      </w:r>
      <w:r w:rsidR="00120504" w:rsidRPr="00046F23">
        <w:t xml:space="preserve">In cases where there are language differences, an interpreter will be provided </w:t>
      </w:r>
      <w:r w:rsidR="00120504">
        <w:t xml:space="preserve">for the hearing </w:t>
      </w:r>
      <w:r w:rsidR="00120504" w:rsidRPr="00046F23">
        <w:t>by the school district.</w:t>
      </w:r>
    </w:p>
    <w:p w14:paraId="1175ADB3" w14:textId="77777777" w:rsidR="00E163D1" w:rsidRPr="00046F23" w:rsidRDefault="00E163D1" w:rsidP="003F0D92">
      <w:pPr>
        <w:pStyle w:val="NoSpacing"/>
        <w:jc w:val="both"/>
      </w:pPr>
    </w:p>
    <w:p w14:paraId="6A955815" w14:textId="563895A4" w:rsidR="00E163D1" w:rsidRPr="003534C2" w:rsidRDefault="00E163D1" w:rsidP="003F0D92">
      <w:pPr>
        <w:pStyle w:val="NoSpacing"/>
        <w:jc w:val="both"/>
      </w:pPr>
      <w:r w:rsidRPr="003534C2">
        <w:t>The hearing will be conducted</w:t>
      </w:r>
      <w:r w:rsidR="005A37A6" w:rsidRPr="003534C2">
        <w:t xml:space="preserve"> </w:t>
      </w:r>
      <w:r w:rsidRPr="003534C2">
        <w:t>within forty-five (45) calendar days from the date of the hearing assignment</w:t>
      </w:r>
      <w:r w:rsidR="005A37A6" w:rsidRPr="003534C2">
        <w:t xml:space="preserve"> </w:t>
      </w:r>
      <w:r w:rsidR="005A37A6" w:rsidRPr="003534C2">
        <w:rPr>
          <w:iCs/>
        </w:rPr>
        <w:t>unless a continuance has been granted by the hearing officer</w:t>
      </w:r>
      <w:r w:rsidRPr="003534C2">
        <w:rPr>
          <w:iCs/>
        </w:rPr>
        <w:t>.</w:t>
      </w:r>
      <w:r w:rsidRPr="003534C2">
        <w:t xml:space="preserve">  </w:t>
      </w:r>
      <w:r w:rsidR="005A37A6" w:rsidRPr="003534C2">
        <w:t xml:space="preserve">Either party may request a continuance, which </w:t>
      </w:r>
      <w:r w:rsidRPr="003534C2">
        <w:t>continuance may be granted by the hearing officer upon a showing of good cause.  Any continuance(s) granted by the hearing officer will extend the time for rendering a final hearing decision for a period equal to the length of the continuance(s).</w:t>
      </w:r>
    </w:p>
    <w:p w14:paraId="7E611656" w14:textId="77777777" w:rsidR="00E163D1" w:rsidRPr="003534C2" w:rsidRDefault="00E163D1" w:rsidP="003F0D92">
      <w:pPr>
        <w:pStyle w:val="NoSpacing"/>
        <w:jc w:val="both"/>
      </w:pPr>
    </w:p>
    <w:p w14:paraId="106B32D9" w14:textId="77777777" w:rsidR="00DD1E70" w:rsidRDefault="00DD1E70" w:rsidP="003F0D92">
      <w:pPr>
        <w:pStyle w:val="NoSpacing"/>
        <w:jc w:val="both"/>
      </w:pPr>
      <w:r>
        <w:t xml:space="preserve">At any time prior to the hearing, the parties may mutually agree to submit the matter to mediation.  A mediator may be selected from the State Department of Education’s list of trained mediators.  </w:t>
      </w:r>
    </w:p>
    <w:p w14:paraId="06210B6D" w14:textId="77777777" w:rsidR="00DD1E70" w:rsidRDefault="00DD1E70" w:rsidP="003F0D92">
      <w:pPr>
        <w:pStyle w:val="NoSpacing"/>
        <w:jc w:val="both"/>
      </w:pPr>
    </w:p>
    <w:p w14:paraId="6DA2D2FB" w14:textId="53D194EF" w:rsidR="00E163D1" w:rsidRDefault="00E163D1" w:rsidP="003F0D92">
      <w:pPr>
        <w:pStyle w:val="NoSpacing"/>
        <w:jc w:val="both"/>
      </w:pPr>
      <w:r w:rsidRPr="00046F23">
        <w:t>The appointed hearing officer will preside at the hearing and will conduct the hearing in a manner that allows all parties the following rights:</w:t>
      </w:r>
    </w:p>
    <w:p w14:paraId="1A84DD33" w14:textId="77777777" w:rsidR="00E163D1" w:rsidRDefault="00E163D1" w:rsidP="003F0D92">
      <w:pPr>
        <w:pStyle w:val="NoSpacing"/>
        <w:jc w:val="both"/>
      </w:pPr>
    </w:p>
    <w:p w14:paraId="7626A44C" w14:textId="77777777" w:rsidR="00E163D1" w:rsidRDefault="00E163D1" w:rsidP="003F0D92">
      <w:pPr>
        <w:pStyle w:val="NoSpacing"/>
        <w:numPr>
          <w:ilvl w:val="0"/>
          <w:numId w:val="34"/>
        </w:numPr>
        <w:spacing w:line="276" w:lineRule="auto"/>
        <w:ind w:hanging="360"/>
        <w:jc w:val="both"/>
      </w:pPr>
      <w:r w:rsidRPr="00046F23">
        <w:t>The right to be represented</w:t>
      </w:r>
      <w:r>
        <w:t xml:space="preserve"> by counsel at the expense of each respective party.</w:t>
      </w:r>
    </w:p>
    <w:p w14:paraId="37DFE700" w14:textId="77777777" w:rsidR="00E163D1" w:rsidRDefault="00E163D1" w:rsidP="003F0D92">
      <w:pPr>
        <w:pStyle w:val="NoSpacing"/>
        <w:numPr>
          <w:ilvl w:val="0"/>
          <w:numId w:val="34"/>
        </w:numPr>
        <w:spacing w:line="276" w:lineRule="auto"/>
        <w:ind w:hanging="360"/>
        <w:jc w:val="both"/>
      </w:pPr>
      <w:r w:rsidRPr="00046F23">
        <w:t>The right to present evidence and oral arguments</w:t>
      </w:r>
      <w:r>
        <w:t>.</w:t>
      </w:r>
    </w:p>
    <w:p w14:paraId="5976FF88" w14:textId="5E0C8B3F" w:rsidR="00E163D1" w:rsidRPr="003534C2" w:rsidRDefault="00E163D1" w:rsidP="003F0D92">
      <w:pPr>
        <w:pStyle w:val="NoSpacing"/>
        <w:numPr>
          <w:ilvl w:val="0"/>
          <w:numId w:val="34"/>
        </w:numPr>
        <w:spacing w:line="276" w:lineRule="auto"/>
        <w:ind w:hanging="360"/>
        <w:jc w:val="both"/>
      </w:pPr>
      <w:r>
        <w:t xml:space="preserve">The </w:t>
      </w:r>
      <w:r w:rsidRPr="003534C2">
        <w:t>right to examine witnesses</w:t>
      </w:r>
      <w:r w:rsidR="007552DF" w:rsidRPr="003534C2">
        <w:rPr>
          <w:iCs/>
        </w:rPr>
        <w:t>, provided that witnesses will not be subject to cross-examination and the Idaho Rules of Evidence shall not apply</w:t>
      </w:r>
      <w:r w:rsidRPr="003534C2">
        <w:t>.</w:t>
      </w:r>
    </w:p>
    <w:p w14:paraId="3EC146E1" w14:textId="2E455A60" w:rsidR="00E163D1" w:rsidRDefault="00E163D1" w:rsidP="003F0D92">
      <w:pPr>
        <w:pStyle w:val="NoSpacing"/>
        <w:numPr>
          <w:ilvl w:val="0"/>
          <w:numId w:val="34"/>
        </w:numPr>
        <w:spacing w:line="276" w:lineRule="auto"/>
        <w:ind w:hanging="360"/>
        <w:jc w:val="both"/>
      </w:pPr>
      <w:r w:rsidRPr="00C530FB">
        <w:t>The right to an electronic record of the hearing</w:t>
      </w:r>
      <w:r w:rsidR="00DD1E70" w:rsidRPr="00C530FB">
        <w:t xml:space="preserve"> using appropriate equipment</w:t>
      </w:r>
      <w:r w:rsidR="00C530FB">
        <w:t>,</w:t>
      </w:r>
      <w:r w:rsidR="00DD1E70" w:rsidRPr="00C530FB">
        <w:t xml:space="preserve"> if requested by either party</w:t>
      </w:r>
      <w:r>
        <w:t>.</w:t>
      </w:r>
    </w:p>
    <w:p w14:paraId="12A8DD78" w14:textId="77777777" w:rsidR="00E163D1" w:rsidRDefault="00E163D1" w:rsidP="003F0D92">
      <w:pPr>
        <w:pStyle w:val="NoSpacing"/>
        <w:numPr>
          <w:ilvl w:val="0"/>
          <w:numId w:val="34"/>
        </w:numPr>
        <w:spacing w:line="276" w:lineRule="auto"/>
        <w:ind w:hanging="360"/>
        <w:jc w:val="both"/>
      </w:pPr>
      <w:r w:rsidRPr="00046F23">
        <w:t>The right to written findings of fact and a decision on the matter.</w:t>
      </w:r>
    </w:p>
    <w:p w14:paraId="56AB3534" w14:textId="77777777" w:rsidR="003B289B" w:rsidRDefault="003B289B" w:rsidP="003F0D92">
      <w:pPr>
        <w:pStyle w:val="NoSpacing"/>
        <w:jc w:val="both"/>
      </w:pPr>
    </w:p>
    <w:p w14:paraId="0598C336" w14:textId="0B69032B" w:rsidR="00E163D1" w:rsidRPr="00DF74E4" w:rsidRDefault="00E163D1" w:rsidP="003F0D92">
      <w:pPr>
        <w:pStyle w:val="NoSpacing"/>
        <w:jc w:val="both"/>
      </w:pPr>
      <w:r w:rsidRPr="00DF74E4">
        <w:t>The parent/guardian involved in the hearing process has the right to:</w:t>
      </w:r>
    </w:p>
    <w:p w14:paraId="5085B4E6" w14:textId="77777777" w:rsidR="00E163D1" w:rsidRPr="00DF74E4" w:rsidRDefault="00E163D1" w:rsidP="003F0D92">
      <w:pPr>
        <w:pStyle w:val="NoSpacing"/>
        <w:jc w:val="both"/>
      </w:pPr>
    </w:p>
    <w:p w14:paraId="3479C3EE" w14:textId="77777777" w:rsidR="00E163D1" w:rsidRPr="00DF74E4" w:rsidRDefault="00E163D1" w:rsidP="003F0D92">
      <w:pPr>
        <w:pStyle w:val="NoSpacing"/>
        <w:numPr>
          <w:ilvl w:val="0"/>
          <w:numId w:val="35"/>
        </w:numPr>
        <w:spacing w:line="276" w:lineRule="auto"/>
        <w:ind w:hanging="360"/>
        <w:jc w:val="both"/>
      </w:pPr>
      <w:r w:rsidRPr="00DF74E4">
        <w:t>Have the student present at the hearing.</w:t>
      </w:r>
    </w:p>
    <w:p w14:paraId="4506C8F7" w14:textId="77777777" w:rsidR="00E163D1" w:rsidRPr="00DF74E4" w:rsidRDefault="00E163D1" w:rsidP="003F0D92">
      <w:pPr>
        <w:pStyle w:val="NoSpacing"/>
        <w:numPr>
          <w:ilvl w:val="0"/>
          <w:numId w:val="35"/>
        </w:numPr>
        <w:spacing w:line="276" w:lineRule="auto"/>
        <w:ind w:hanging="360"/>
        <w:jc w:val="both"/>
      </w:pPr>
      <w:r w:rsidRPr="00DF74E4">
        <w:t>A closed hearing, unless the parent/guardian elects to open the hearing to the public.</w:t>
      </w:r>
    </w:p>
    <w:p w14:paraId="305875E9" w14:textId="77777777" w:rsidR="00E163D1" w:rsidRPr="00D27F45" w:rsidRDefault="00E163D1" w:rsidP="003F0D92">
      <w:pPr>
        <w:pStyle w:val="NoSpacing"/>
        <w:jc w:val="both"/>
        <w:rPr>
          <w:i/>
        </w:rPr>
      </w:pPr>
    </w:p>
    <w:p w14:paraId="02469DD0" w14:textId="5FF108C6" w:rsidR="00E163D1" w:rsidRDefault="00E163D1" w:rsidP="00452C78">
      <w:pPr>
        <w:pStyle w:val="NoSpacing"/>
        <w:jc w:val="both"/>
      </w:pPr>
      <w:r w:rsidRPr="00046F23">
        <w:t xml:space="preserve">The appointed hearing officer will review all relevant facts presented at the hearing and will determine whether the </w:t>
      </w:r>
      <w:r>
        <w:t xml:space="preserve">decisions regarding the child’s identification, evaluation, educational program, or placement were appropriate. </w:t>
      </w:r>
      <w:r w:rsidRPr="00046F23">
        <w:t>The hearing officer will have the authority to uphold, reverse, or modify the school district’s decision</w:t>
      </w:r>
      <w:r>
        <w:t>s or actions</w:t>
      </w:r>
      <w:r w:rsidR="007552DF">
        <w:t>.  The hearing officer may request that both parties submit written findings of fact, conclusions of law and decision.</w:t>
      </w:r>
      <w:r>
        <w:t xml:space="preserve"> </w:t>
      </w:r>
    </w:p>
    <w:p w14:paraId="6A20D6CD" w14:textId="77777777" w:rsidR="00E163D1" w:rsidRDefault="00E163D1" w:rsidP="003F0D92">
      <w:pPr>
        <w:pStyle w:val="NoSpacing"/>
        <w:spacing w:line="276" w:lineRule="auto"/>
        <w:jc w:val="both"/>
      </w:pPr>
    </w:p>
    <w:p w14:paraId="08DD770E" w14:textId="77777777" w:rsidR="00E163D1" w:rsidRDefault="00E163D1" w:rsidP="003F0D92">
      <w:pPr>
        <w:pStyle w:val="NoSpacing"/>
        <w:jc w:val="both"/>
        <w:rPr>
          <w:b/>
        </w:rPr>
      </w:pPr>
      <w:r w:rsidRPr="00D27F45">
        <w:rPr>
          <w:b/>
        </w:rPr>
        <w:t>DECISION OF THE HEARING OFFICER</w:t>
      </w:r>
    </w:p>
    <w:p w14:paraId="332D12E1" w14:textId="77777777" w:rsidR="00E163D1" w:rsidRPr="00D27F45" w:rsidRDefault="00E163D1" w:rsidP="003F0D92">
      <w:pPr>
        <w:pStyle w:val="NoSpacing"/>
        <w:jc w:val="both"/>
        <w:rPr>
          <w:b/>
        </w:rPr>
      </w:pPr>
    </w:p>
    <w:p w14:paraId="71AA3007" w14:textId="10D5FA41" w:rsidR="00E163D1" w:rsidRPr="00046F23" w:rsidRDefault="00E163D1" w:rsidP="003F0D92">
      <w:pPr>
        <w:pStyle w:val="NoSpacing"/>
        <w:jc w:val="both"/>
      </w:pPr>
      <w:r w:rsidRPr="00046F23">
        <w:t>A copy of the hearing officer’s findings of fact and decision will be delivered to the school district and the parent</w:t>
      </w:r>
      <w:r>
        <w:t>/guardian</w:t>
      </w:r>
      <w:r w:rsidRPr="00046F23">
        <w:t xml:space="preserve"> within </w:t>
      </w:r>
      <w:r w:rsidRPr="003534C2">
        <w:t>sixty (60) calendar days</w:t>
      </w:r>
      <w:r w:rsidRPr="00046F23">
        <w:t xml:space="preserve"> from the date of the assignment of the hearing officer, unless a continuance </w:t>
      </w:r>
      <w:r>
        <w:t>is</w:t>
      </w:r>
      <w:r w:rsidRPr="00046F23">
        <w:t xml:space="preserve"> granted.</w:t>
      </w:r>
      <w:r w:rsidR="005A37A6">
        <w:t xml:space="preserve">  </w:t>
      </w:r>
      <w:r w:rsidRPr="00046F23">
        <w:t>The decision of the hearing officer is binding on all parties concerned</w:t>
      </w:r>
      <w:r w:rsidR="00217803">
        <w:t xml:space="preserve">.  </w:t>
      </w:r>
      <w:r w:rsidR="00766540">
        <w:t xml:space="preserve">However, an aggrieved party </w:t>
      </w:r>
      <w:r>
        <w:t>has the right to request a review of the hearing officer’s decision</w:t>
      </w:r>
      <w:r w:rsidR="00766540">
        <w:t xml:space="preserve"> as provided herein</w:t>
      </w:r>
      <w:r w:rsidRPr="00046F23">
        <w:t>.</w:t>
      </w:r>
    </w:p>
    <w:p w14:paraId="123231DE" w14:textId="77777777" w:rsidR="00E163D1" w:rsidRPr="00046F23" w:rsidRDefault="00E163D1" w:rsidP="003F0D92">
      <w:pPr>
        <w:pStyle w:val="NoSpacing"/>
        <w:jc w:val="both"/>
      </w:pPr>
    </w:p>
    <w:p w14:paraId="2AAFD084" w14:textId="38C3124D" w:rsidR="00E163D1" w:rsidRDefault="00E163D1" w:rsidP="003F0D92">
      <w:pPr>
        <w:pStyle w:val="NoSpacing"/>
        <w:jc w:val="both"/>
        <w:rPr>
          <w:b/>
        </w:rPr>
      </w:pPr>
      <w:r w:rsidRPr="00D27F45">
        <w:rPr>
          <w:b/>
        </w:rPr>
        <w:t>REVIEW PROCEDURE</w:t>
      </w:r>
    </w:p>
    <w:p w14:paraId="35DF1AA4" w14:textId="2EA1E259" w:rsidR="00E163D1" w:rsidRPr="00D27F45" w:rsidRDefault="00E163D1" w:rsidP="003F0D92">
      <w:pPr>
        <w:pStyle w:val="NoSpacing"/>
        <w:jc w:val="both"/>
        <w:rPr>
          <w:b/>
        </w:rPr>
      </w:pPr>
    </w:p>
    <w:p w14:paraId="4B0DD261" w14:textId="05156E0F" w:rsidR="00E163D1" w:rsidRPr="003534C2" w:rsidRDefault="00E163D1" w:rsidP="003F0D92">
      <w:pPr>
        <w:pStyle w:val="NoSpacing"/>
        <w:jc w:val="both"/>
      </w:pPr>
      <w:r w:rsidRPr="003534C2">
        <w:t>An aggrieved party may petition for review of the hearing officer’s decision.  A request for review must:</w:t>
      </w:r>
    </w:p>
    <w:p w14:paraId="6C4CB40B" w14:textId="222BE1E2" w:rsidR="00E163D1" w:rsidRPr="003534C2" w:rsidRDefault="00E163D1" w:rsidP="003F0D92">
      <w:pPr>
        <w:pStyle w:val="NoSpacing"/>
        <w:jc w:val="both"/>
      </w:pPr>
    </w:p>
    <w:p w14:paraId="55A3FDE9" w14:textId="01A982B8" w:rsidR="00E163D1" w:rsidRPr="003534C2" w:rsidRDefault="00E163D1" w:rsidP="003F0D92">
      <w:pPr>
        <w:pStyle w:val="NoSpacing"/>
        <w:numPr>
          <w:ilvl w:val="0"/>
          <w:numId w:val="37"/>
        </w:numPr>
        <w:spacing w:line="276" w:lineRule="auto"/>
        <w:ind w:hanging="360"/>
        <w:jc w:val="both"/>
      </w:pPr>
      <w:r w:rsidRPr="003534C2">
        <w:t>Be made in writing and addressed to the Section 504 Compliance Officer, including a copy for the opposing party.</w:t>
      </w:r>
    </w:p>
    <w:p w14:paraId="7C3EA7C4" w14:textId="1B6ACB78" w:rsidR="00E163D1" w:rsidRPr="003534C2" w:rsidRDefault="00E163D1" w:rsidP="003F0D92">
      <w:pPr>
        <w:pStyle w:val="NoSpacing"/>
        <w:numPr>
          <w:ilvl w:val="0"/>
          <w:numId w:val="37"/>
        </w:numPr>
        <w:spacing w:line="276" w:lineRule="auto"/>
        <w:ind w:hanging="360"/>
        <w:jc w:val="both"/>
      </w:pPr>
      <w:r w:rsidRPr="003534C2">
        <w:t>Contain specific objections to the findings of fact and/or conclusions of law believed to be erroneous.</w:t>
      </w:r>
    </w:p>
    <w:p w14:paraId="2D02937D" w14:textId="5AF80B65" w:rsidR="00E163D1" w:rsidRPr="003534C2" w:rsidRDefault="00E163D1" w:rsidP="003F0D92">
      <w:pPr>
        <w:pStyle w:val="NoSpacing"/>
        <w:numPr>
          <w:ilvl w:val="0"/>
          <w:numId w:val="37"/>
        </w:numPr>
        <w:spacing w:after="240" w:line="276" w:lineRule="auto"/>
        <w:ind w:hanging="360"/>
        <w:jc w:val="both"/>
      </w:pPr>
      <w:r w:rsidRPr="003534C2">
        <w:t>Be filed within fifteen (15) calendar days of receipt of the hearing officer’s decision.</w:t>
      </w:r>
    </w:p>
    <w:p w14:paraId="56E0FB93" w14:textId="26DBB74F" w:rsidR="00E163D1" w:rsidRPr="003534C2" w:rsidRDefault="00E163D1" w:rsidP="003F0D92">
      <w:pPr>
        <w:pStyle w:val="NoSpacing"/>
        <w:jc w:val="both"/>
      </w:pPr>
      <w:r w:rsidRPr="003534C2">
        <w:lastRenderedPageBreak/>
        <w:t xml:space="preserve">The Section 504 Compliance Officer shall determine whether the petition for review contains all of the required information with ten (10) calendar days from its receipt.  If it is determined the petition does not contain </w:t>
      </w:r>
      <w:r w:rsidR="00766540" w:rsidRPr="003534C2">
        <w:t>all</w:t>
      </w:r>
      <w:r w:rsidRPr="003534C2">
        <w:t xml:space="preserve"> required information, the petition will be returned, and the party petitioning for review will have an additional five (5) school days in which to remedy the defect.  </w:t>
      </w:r>
    </w:p>
    <w:p w14:paraId="10201617" w14:textId="0FB56D89" w:rsidR="00E163D1" w:rsidRPr="003534C2" w:rsidRDefault="00E163D1" w:rsidP="003F0D92">
      <w:pPr>
        <w:pStyle w:val="NoSpacing"/>
        <w:jc w:val="both"/>
      </w:pPr>
    </w:p>
    <w:p w14:paraId="39FC221C" w14:textId="421CA98E" w:rsidR="00E163D1" w:rsidRPr="003534C2" w:rsidRDefault="00E163D1" w:rsidP="003F0D92">
      <w:pPr>
        <w:pStyle w:val="NoSpacing"/>
        <w:jc w:val="both"/>
      </w:pPr>
      <w:r w:rsidRPr="003534C2">
        <w:t>Upon filing of a petition to review the hearing officer’s decision, the district shall appoint a Review Officer who does not have a direct interest in the outcome of the decision and is knowledgeable about Section 504 education matters.  The impartial Review Officer shall not hear additional evidence</w:t>
      </w:r>
      <w:r w:rsidR="00786624" w:rsidRPr="003534C2">
        <w:t>,</w:t>
      </w:r>
      <w:r w:rsidRPr="003534C2">
        <w:t xml:space="preserve"> except in the case of a showing of extraordinary circumstances necessitating an additional hearing, but shall be limited to review the evidence and the record of the hearing conducted by the hearing officer and the objections of the appealing party.  The Review Officer shall render a decision within sixty (60) calendar days following the request for review as to whether the hearing officer’s decision shall stand or shall be overturned.</w:t>
      </w:r>
    </w:p>
    <w:p w14:paraId="18B55707" w14:textId="6A26B664" w:rsidR="00E163D1" w:rsidRPr="003534C2" w:rsidRDefault="00E163D1" w:rsidP="003F0D92">
      <w:pPr>
        <w:pStyle w:val="NoSpacing"/>
        <w:jc w:val="both"/>
      </w:pPr>
    </w:p>
    <w:p w14:paraId="7FD86CA0" w14:textId="0F825773" w:rsidR="00E163D1" w:rsidRPr="003534C2" w:rsidRDefault="00E163D1" w:rsidP="003F0D92">
      <w:pPr>
        <w:pStyle w:val="NoSpacing"/>
        <w:jc w:val="both"/>
      </w:pPr>
      <w:r w:rsidRPr="003534C2">
        <w:t xml:space="preserve">If a hearing and/or oral argument are determined necessary by the Review Officer in order to conduct a review of the proceedings, the Review Officer shall give reasonable notice to both parties of the date, time, and location of the hearing.  Whether a hearing and/or oral argument are necessary shall be left solely to the discretion of the Review Officer and neither party shall have the right to request a hearing and/or argument.  The parties may be represented by counsel at any hearing requested by the Review Officer, at the expense of the respective parties. </w:t>
      </w:r>
    </w:p>
    <w:p w14:paraId="16619CB0" w14:textId="77777777" w:rsidR="00A74B43" w:rsidRPr="003534C2" w:rsidRDefault="00A74B43" w:rsidP="003F0D92">
      <w:pPr>
        <w:pStyle w:val="NoSpacing"/>
        <w:jc w:val="both"/>
      </w:pPr>
    </w:p>
    <w:p w14:paraId="2E44E92F" w14:textId="2FAED545" w:rsidR="00E163D1" w:rsidRPr="003534C2" w:rsidRDefault="00E163D1" w:rsidP="003F0D92">
      <w:pPr>
        <w:pStyle w:val="NoSpacing"/>
        <w:jc w:val="both"/>
      </w:pPr>
      <w:r w:rsidRPr="003534C2">
        <w:t xml:space="preserve">The written decision of the Review Officer shall be based solely on the evidence presented and the applicable law, and shall contain reasons for the decision. The decision of the Review Officer shall be the final decision. </w:t>
      </w:r>
    </w:p>
    <w:p w14:paraId="61389174" w14:textId="77777777" w:rsidR="00786624" w:rsidRPr="008A34DB" w:rsidRDefault="00786624" w:rsidP="003F0D92">
      <w:pPr>
        <w:pStyle w:val="NoSpacing"/>
        <w:jc w:val="both"/>
        <w:rPr>
          <w:i/>
        </w:rPr>
      </w:pPr>
    </w:p>
    <w:p w14:paraId="24B26A38" w14:textId="30A230E0" w:rsidR="00E163D1" w:rsidRDefault="00534260" w:rsidP="003F0D92">
      <w:pPr>
        <w:pStyle w:val="NoSpacing"/>
        <w:jc w:val="both"/>
        <w:rPr>
          <w:b/>
          <w:bCs/>
          <w:iCs/>
        </w:rPr>
      </w:pPr>
      <w:r>
        <w:rPr>
          <w:b/>
          <w:bCs/>
          <w:iCs/>
        </w:rPr>
        <w:t>APPEALS</w:t>
      </w:r>
    </w:p>
    <w:p w14:paraId="5939DCF0" w14:textId="77777777" w:rsidR="00534260" w:rsidRPr="00452C78" w:rsidRDefault="00534260" w:rsidP="003F0D92">
      <w:pPr>
        <w:pStyle w:val="NoSpacing"/>
        <w:jc w:val="both"/>
        <w:rPr>
          <w:b/>
          <w:bCs/>
          <w:iCs/>
        </w:rPr>
      </w:pPr>
    </w:p>
    <w:p w14:paraId="6BA1BE62" w14:textId="5B2E08F7" w:rsidR="00E163D1" w:rsidRDefault="00534260" w:rsidP="003F0D92">
      <w:pPr>
        <w:pStyle w:val="1"/>
        <w:numPr>
          <w:ilvl w:val="0"/>
          <w:numId w:val="0"/>
        </w:numPr>
        <w:tabs>
          <w:tab w:val="left" w:pos="-1440"/>
        </w:tabs>
        <w:jc w:val="both"/>
        <w:rPr>
          <w:sz w:val="24"/>
        </w:rPr>
      </w:pPr>
      <w:r>
        <w:rPr>
          <w:sz w:val="24"/>
        </w:rPr>
        <w:t xml:space="preserve">Appeals of the hearing officer’s </w:t>
      </w:r>
      <w:r w:rsidR="00786624">
        <w:rPr>
          <w:sz w:val="24"/>
        </w:rPr>
        <w:t xml:space="preserve">or review officer’s </w:t>
      </w:r>
      <w:r>
        <w:rPr>
          <w:sz w:val="24"/>
        </w:rPr>
        <w:t>decision may be taken as provided by law.  A</w:t>
      </w:r>
      <w:r w:rsidR="00E163D1">
        <w:rPr>
          <w:sz w:val="24"/>
        </w:rPr>
        <w:t xml:space="preserve"> parent/guardian may </w:t>
      </w:r>
      <w:r>
        <w:rPr>
          <w:sz w:val="24"/>
        </w:rPr>
        <w:t xml:space="preserve">also </w:t>
      </w:r>
      <w:r w:rsidR="00E163D1">
        <w:rPr>
          <w:sz w:val="24"/>
        </w:rPr>
        <w:t>file a complaint with the Office for Civil Rights, 915 2</w:t>
      </w:r>
      <w:r w:rsidR="00E163D1">
        <w:rPr>
          <w:sz w:val="24"/>
          <w:vertAlign w:val="superscript"/>
        </w:rPr>
        <w:t>nd</w:t>
      </w:r>
      <w:r w:rsidR="00E163D1">
        <w:rPr>
          <w:sz w:val="24"/>
        </w:rPr>
        <w:t xml:space="preserve"> Avenue, Room 3310, Seattle, WA 98174-1099</w:t>
      </w:r>
      <w:r w:rsidR="00771988">
        <w:rPr>
          <w:sz w:val="24"/>
        </w:rPr>
        <w:t>; OCR.Seattle@ed.gov</w:t>
      </w:r>
      <w:r w:rsidR="00E163D1">
        <w:rPr>
          <w:sz w:val="24"/>
        </w:rPr>
        <w:t>.</w:t>
      </w:r>
    </w:p>
    <w:p w14:paraId="06BC07DE" w14:textId="67A3A658" w:rsidR="00BE4E42" w:rsidRDefault="00BE4E42" w:rsidP="003F0D92">
      <w:pPr>
        <w:jc w:val="both"/>
      </w:pPr>
    </w:p>
    <w:p w14:paraId="514125CC" w14:textId="77777777" w:rsidR="00E163D1" w:rsidRPr="00046F23" w:rsidRDefault="00E163D1" w:rsidP="003F0D92">
      <w:pPr>
        <w:pStyle w:val="NoSpacing"/>
        <w:jc w:val="center"/>
      </w:pPr>
      <w:r w:rsidRPr="00046F23">
        <w:t>♦ ♦ ♦ ♦ ♦ ♦ ♦</w:t>
      </w:r>
    </w:p>
    <w:p w14:paraId="4B53D0E2" w14:textId="77777777" w:rsidR="00E163D1" w:rsidRPr="00046F23" w:rsidRDefault="00E163D1" w:rsidP="003F0D92">
      <w:pPr>
        <w:pStyle w:val="NoSpacing"/>
        <w:jc w:val="both"/>
      </w:pPr>
    </w:p>
    <w:p w14:paraId="69815CC5" w14:textId="77777777" w:rsidR="00E163D1" w:rsidRPr="00AA36DE" w:rsidRDefault="00E163D1" w:rsidP="003F0D92">
      <w:pPr>
        <w:pStyle w:val="NoSpacing"/>
        <w:jc w:val="both"/>
        <w:rPr>
          <w:rFonts w:ascii="Arial" w:hAnsi="Arial" w:cs="Arial"/>
          <w:b/>
        </w:rPr>
      </w:pPr>
      <w:r w:rsidRPr="00AA36DE">
        <w:rPr>
          <w:rFonts w:ascii="Arial" w:hAnsi="Arial" w:cs="Arial"/>
          <w:b/>
        </w:rPr>
        <w:t>LEGAL REFERENCE:</w:t>
      </w:r>
    </w:p>
    <w:p w14:paraId="22D0D646" w14:textId="77777777" w:rsidR="00E163D1" w:rsidRDefault="00E163D1" w:rsidP="003F0D92">
      <w:pPr>
        <w:pStyle w:val="NoSpacing"/>
        <w:jc w:val="both"/>
      </w:pPr>
      <w:r>
        <w:t>Section 504 of the Rehabilitation Act of 1973</w:t>
      </w:r>
    </w:p>
    <w:p w14:paraId="40B8F3B3" w14:textId="77777777" w:rsidR="00E163D1" w:rsidRPr="004B1A87" w:rsidRDefault="00E163D1" w:rsidP="003F0D92">
      <w:pPr>
        <w:pStyle w:val="NoSpacing"/>
        <w:ind w:firstLine="720"/>
        <w:jc w:val="both"/>
      </w:pPr>
      <w:r w:rsidRPr="004B1A87">
        <w:t>29 USC Chapter 16</w:t>
      </w:r>
    </w:p>
    <w:p w14:paraId="126A03AE" w14:textId="77777777" w:rsidR="00E163D1" w:rsidRPr="004B1A87" w:rsidRDefault="00E163D1" w:rsidP="003F0D92">
      <w:pPr>
        <w:pStyle w:val="NoSpacing"/>
        <w:ind w:firstLine="720"/>
        <w:jc w:val="both"/>
      </w:pPr>
      <w:r w:rsidRPr="004B1A87">
        <w:t>34 CFR Part 104.36</w:t>
      </w:r>
    </w:p>
    <w:p w14:paraId="081BE209" w14:textId="77777777" w:rsidR="00E163D1" w:rsidRPr="00AA36DE" w:rsidRDefault="00E163D1" w:rsidP="003F0D92">
      <w:pPr>
        <w:pStyle w:val="NoSpacing"/>
        <w:jc w:val="both"/>
        <w:rPr>
          <w:rFonts w:ascii="Arial" w:hAnsi="Arial" w:cs="Arial"/>
          <w:b/>
        </w:rPr>
      </w:pPr>
    </w:p>
    <w:p w14:paraId="30BB331C" w14:textId="40502EBE" w:rsidR="00E163D1" w:rsidRPr="00AA36DE" w:rsidRDefault="00E163D1" w:rsidP="00E163D1">
      <w:pPr>
        <w:pStyle w:val="NoSpacing"/>
        <w:rPr>
          <w:rFonts w:ascii="Arial" w:hAnsi="Arial" w:cs="Arial"/>
          <w:b/>
        </w:rPr>
      </w:pPr>
      <w:r w:rsidRPr="00AA36DE">
        <w:rPr>
          <w:rFonts w:ascii="Arial" w:hAnsi="Arial" w:cs="Arial"/>
          <w:b/>
        </w:rPr>
        <w:t>ADOPTED:</w:t>
      </w:r>
      <w:r w:rsidRPr="00AA36DE">
        <w:rPr>
          <w:rFonts w:ascii="Arial" w:hAnsi="Arial" w:cs="Arial"/>
          <w:b/>
        </w:rPr>
        <w:tab/>
      </w:r>
      <w:r w:rsidR="007C2B52">
        <w:rPr>
          <w:rFonts w:ascii="Arial" w:hAnsi="Arial" w:cs="Arial"/>
          <w:b/>
        </w:rPr>
        <w:t>May 13, 2013</w:t>
      </w:r>
    </w:p>
    <w:p w14:paraId="18A489B9" w14:textId="77777777" w:rsidR="00E163D1" w:rsidRPr="00AA36DE" w:rsidRDefault="00E163D1" w:rsidP="00E163D1">
      <w:pPr>
        <w:pStyle w:val="NoSpacing"/>
        <w:rPr>
          <w:rFonts w:ascii="Arial" w:hAnsi="Arial" w:cs="Arial"/>
        </w:rPr>
      </w:pPr>
    </w:p>
    <w:p w14:paraId="7B443BCB" w14:textId="767CD3E9" w:rsidR="00E163D1" w:rsidRPr="00AA36DE" w:rsidRDefault="00E163D1" w:rsidP="00E163D1">
      <w:pPr>
        <w:pStyle w:val="NoSpacing"/>
        <w:rPr>
          <w:rFonts w:ascii="Arial" w:hAnsi="Arial" w:cs="Arial"/>
          <w:b/>
        </w:rPr>
      </w:pPr>
      <w:r w:rsidRPr="00AA36DE">
        <w:rPr>
          <w:rFonts w:ascii="Arial" w:hAnsi="Arial" w:cs="Arial"/>
          <w:b/>
        </w:rPr>
        <w:t>AMENDED:</w:t>
      </w:r>
      <w:r w:rsidRPr="00AA36DE">
        <w:rPr>
          <w:rFonts w:ascii="Arial" w:hAnsi="Arial" w:cs="Arial"/>
          <w:b/>
        </w:rPr>
        <w:tab/>
      </w:r>
      <w:r w:rsidR="00B411AF">
        <w:rPr>
          <w:rFonts w:ascii="Arial" w:hAnsi="Arial" w:cs="Arial"/>
          <w:b/>
        </w:rPr>
        <w:t>May 12, 2025</w:t>
      </w:r>
      <w:bookmarkStart w:id="0" w:name="_GoBack"/>
      <w:bookmarkEnd w:id="0"/>
    </w:p>
    <w:p w14:paraId="03B6E6CB" w14:textId="77777777" w:rsidR="00E163D1" w:rsidRPr="00046F23" w:rsidRDefault="00E163D1" w:rsidP="00E163D1">
      <w:pPr>
        <w:pStyle w:val="NoSpacing"/>
      </w:pPr>
    </w:p>
    <w:p w14:paraId="69D11743" w14:textId="77777777" w:rsidR="00E163D1" w:rsidRDefault="00E163D1" w:rsidP="00E163D1">
      <w:pPr>
        <w:pStyle w:val="NoSpacing"/>
      </w:pPr>
    </w:p>
    <w:p w14:paraId="15764447" w14:textId="2750A54D" w:rsidR="00E163D1" w:rsidRPr="00046F23" w:rsidRDefault="00634E15" w:rsidP="00E163D1">
      <w:pPr>
        <w:pStyle w:val="NoSpacing"/>
      </w:pPr>
      <w:r>
        <w:rPr>
          <w:noProof/>
        </w:rPr>
        <mc:AlternateContent>
          <mc:Choice Requires="wps">
            <w:drawing>
              <wp:anchor distT="0" distB="0" distL="114300" distR="114300" simplePos="0" relativeHeight="251657728" behindDoc="0" locked="0" layoutInCell="1" allowOverlap="1" wp14:anchorId="17BB3C98" wp14:editId="2CF0A758">
                <wp:simplePos x="0" y="0"/>
                <wp:positionH relativeFrom="column">
                  <wp:align>center</wp:align>
                </wp:positionH>
                <wp:positionV relativeFrom="paragraph">
                  <wp:posOffset>0</wp:posOffset>
                </wp:positionV>
                <wp:extent cx="5958205" cy="6692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205" cy="669290"/>
                        </a:xfrm>
                        <a:prstGeom prst="rect">
                          <a:avLst/>
                        </a:prstGeom>
                        <a:solidFill>
                          <a:srgbClr val="FFFFFF"/>
                        </a:solidFill>
                        <a:ln w="9525">
                          <a:solidFill>
                            <a:srgbClr val="000000"/>
                          </a:solidFill>
                          <a:miter lim="800000"/>
                          <a:headEnd/>
                          <a:tailEnd/>
                        </a:ln>
                      </wps:spPr>
                      <wps:txbx>
                        <w:txbxContent>
                          <w:p w14:paraId="051049EC" w14:textId="77777777" w:rsidR="00E163D1" w:rsidRPr="00046F23" w:rsidRDefault="00E163D1" w:rsidP="00E163D1">
                            <w:pPr>
                              <w:pStyle w:val="NoSpacing"/>
                              <w:jc w:val="both"/>
                            </w:pPr>
                            <w:r>
                              <w:t>Section 504 does not set forth any timelines for the hearing or review process. The timelines set forth in this policy are suggestions and may be modified so long as the timelines are reasonable.</w:t>
                            </w:r>
                          </w:p>
                          <w:p w14:paraId="5CF086C6" w14:textId="77777777" w:rsidR="00E163D1" w:rsidRDefault="00E163D1" w:rsidP="00E163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BB3C98" id="_x0000_t202" coordsize="21600,21600" o:spt="202" path="m,l,21600r21600,l21600,xe">
                <v:stroke joinstyle="miter"/>
                <v:path gradientshapeok="t" o:connecttype="rect"/>
              </v:shapetype>
              <v:shape id="Text Box 2" o:spid="_x0000_s1026" type="#_x0000_t202" style="position:absolute;margin-left:0;margin-top:0;width:469.15pt;height:52.7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">
                <v:textbox>
                  <w:txbxContent>
                    <w:p w14:paraId="051049EC" w14:textId="77777777" w:rsidR="00E163D1" w:rsidRPr="00046F23" w:rsidRDefault="00E163D1" w:rsidP="00E163D1">
                      <w:pPr>
                        <w:pStyle w:val="NoSpacing"/>
                        <w:jc w:val="both"/>
                      </w:pPr>
                      <w:r>
                        <w:t>Section 504 does not set forth any timelines for the hearing or review process. The timelines set forth in this policy are suggestions and may be modified so long as the timelines are reasonable.</w:t>
                      </w:r>
                    </w:p>
                    <w:p w14:paraId="5CF086C6" w14:textId="77777777" w:rsidR="00E163D1" w:rsidRDefault="00E163D1" w:rsidP="00E163D1"/>
                  </w:txbxContent>
                </v:textbox>
              </v:shape>
            </w:pict>
          </mc:Fallback>
        </mc:AlternateContent>
      </w:r>
    </w:p>
    <w:p w14:paraId="0C31605A" w14:textId="77777777" w:rsidR="00E163D1" w:rsidRDefault="00E163D1" w:rsidP="00BE4E42"/>
    <w:p w14:paraId="7686758F"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lastRenderedPageBreak/>
        <w:t>♦ ♦ ♦ ♦ ♦ ♦ ♦</w:t>
      </w:r>
    </w:p>
    <w:p w14:paraId="1F58EBB5" w14:textId="77777777" w:rsidR="001B4570" w:rsidRDefault="001B4570" w:rsidP="001B4570">
      <w:pPr>
        <w:pStyle w:val="Header"/>
        <w:keepNext/>
        <w:tabs>
          <w:tab w:val="clear" w:pos="4320"/>
          <w:tab w:val="clear" w:pos="8640"/>
        </w:tabs>
        <w:rPr>
          <w:rFonts w:ascii="Arial" w:hAnsi="Arial" w:cs="Arial"/>
        </w:rPr>
      </w:pPr>
    </w:p>
    <w:sectPr w:rsidR="001B4570"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D4895" w14:textId="77777777" w:rsidR="00F503E9" w:rsidRDefault="00F503E9">
      <w:r>
        <w:separator/>
      </w:r>
    </w:p>
  </w:endnote>
  <w:endnote w:type="continuationSeparator" w:id="0">
    <w:p w14:paraId="06546CEB" w14:textId="77777777" w:rsidR="00F503E9" w:rsidRDefault="00F5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3BDF" w14:textId="77777777" w:rsidR="004C53FC" w:rsidRDefault="004C53FC" w:rsidP="004C53FC">
    <w:pPr>
      <w:pStyle w:val="Footer"/>
      <w:pBdr>
        <w:bottom w:val="single" w:sz="12" w:space="1" w:color="auto"/>
      </w:pBdr>
      <w:rPr>
        <w:rFonts w:ascii="Arial" w:hAnsi="Arial" w:cs="Arial"/>
        <w:b/>
        <w:bCs/>
      </w:rPr>
    </w:pPr>
  </w:p>
  <w:p w14:paraId="0AD8A40B" w14:textId="1B35F3B5"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E163D1">
      <w:rPr>
        <w:rFonts w:ascii="Arial" w:hAnsi="Arial" w:cs="Arial"/>
        <w:b/>
        <w:bCs/>
      </w:rPr>
      <w:t>6</w:t>
    </w:r>
    <w:r>
      <w:rPr>
        <w:rFonts w:ascii="Arial" w:hAnsi="Arial" w:cs="Arial"/>
        <w:b/>
        <w:bCs/>
      </w:rPr>
      <w:t xml:space="preserve">00: </w:t>
    </w:r>
    <w:r w:rsidR="00E163D1">
      <w:rPr>
        <w:rFonts w:ascii="Arial" w:hAnsi="Arial" w:cs="Arial"/>
        <w:b/>
        <w:bCs/>
      </w:rPr>
      <w:t>EDUCATIONAL PROGRAMS</w:t>
    </w:r>
    <w:r>
      <w:rPr>
        <w:rFonts w:ascii="Arial" w:hAnsi="Arial" w:cs="Arial"/>
        <w:b/>
        <w:bCs/>
      </w:rPr>
      <w:tab/>
    </w:r>
    <w:r w:rsidR="0049773C">
      <w:rPr>
        <w:rFonts w:ascii="Arial" w:hAnsi="Arial" w:cs="Arial"/>
      </w:rPr>
      <w:t>© 20</w:t>
    </w:r>
    <w:r w:rsidR="00E163D1">
      <w:rPr>
        <w:rFonts w:ascii="Arial" w:hAnsi="Arial" w:cs="Arial"/>
      </w:rPr>
      <w:t>2</w:t>
    </w:r>
    <w:r w:rsidR="00D92D91">
      <w:rPr>
        <w:rFonts w:ascii="Arial" w:hAnsi="Arial" w:cs="Arial"/>
      </w:rPr>
      <w:t>5</w:t>
    </w:r>
    <w:r w:rsidR="002A49F1">
      <w:rPr>
        <w:rFonts w:ascii="Arial" w:hAnsi="Arial" w:cs="Arial"/>
      </w:rPr>
      <w:t xml:space="preserve"> </w:t>
    </w:r>
    <w:proofErr w:type="spellStart"/>
    <w:r w:rsidR="002A49F1">
      <w:rPr>
        <w:rFonts w:ascii="Arial" w:hAnsi="Arial" w:cs="Arial"/>
      </w:rPr>
      <w:t>Holinka</w:t>
    </w:r>
    <w:proofErr w:type="spellEnd"/>
    <w:r w:rsidR="002A49F1">
      <w:rPr>
        <w:rFonts w:ascii="Arial" w:hAnsi="Arial" w:cs="Arial"/>
      </w:rPr>
      <w:t xml:space="preserve"> Law, P.C.</w:t>
    </w:r>
  </w:p>
  <w:p w14:paraId="18DF569B" w14:textId="7EA396DC" w:rsidR="00E163D1" w:rsidRPr="00E163D1" w:rsidRDefault="00E163D1" w:rsidP="00E163D1">
    <w:pPr>
      <w:pStyle w:val="Footer"/>
      <w:tabs>
        <w:tab w:val="clear" w:pos="4320"/>
        <w:tab w:val="clear" w:pos="8640"/>
        <w:tab w:val="right" w:pos="9360"/>
      </w:tabs>
      <w:jc w:val="right"/>
      <w:rPr>
        <w:rFonts w:ascii="Arial" w:hAnsi="Arial" w:cs="Arial"/>
      </w:rPr>
    </w:pPr>
    <w:r w:rsidRPr="00E163D1">
      <w:rPr>
        <w:rFonts w:ascii="Arial" w:hAnsi="Arial" w:cs="Arial"/>
        <w:sz w:val="16"/>
      </w:rPr>
      <w:t>10L-D2/12/98-D2/4/10-M01/10/13-M04/01/14</w:t>
    </w:r>
    <w:r w:rsidR="00D92D91">
      <w:rPr>
        <w:rFonts w:ascii="Arial" w:hAnsi="Arial" w:cs="Arial"/>
        <w:sz w:val="16"/>
      </w:rPr>
      <w:t>-M</w:t>
    </w:r>
    <w:r w:rsidR="00452C78">
      <w:rPr>
        <w:rFonts w:ascii="Arial" w:hAnsi="Arial" w:cs="Arial"/>
        <w:sz w:val="16"/>
      </w:rPr>
      <w:t>02/14</w:t>
    </w:r>
    <w:r w:rsidR="00D92D91">
      <w:rPr>
        <w:rFonts w:ascii="Arial" w:hAnsi="Arial" w:cs="Arial"/>
        <w:sz w:val="16"/>
      </w:rPr>
      <w:t>/25</w:t>
    </w:r>
  </w:p>
  <w:p w14:paraId="3419FF28" w14:textId="4B0A2DE2" w:rsidR="00FD500E" w:rsidRPr="004C53FC" w:rsidRDefault="00FD500E" w:rsidP="004C53FC">
    <w:pPr>
      <w:pStyle w:val="Footer"/>
      <w:tabs>
        <w:tab w:val="clear" w:pos="4320"/>
        <w:tab w:val="clear" w:pos="8640"/>
        <w:tab w:val="right" w:pos="9360"/>
      </w:tabs>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C27E5" w14:textId="77777777" w:rsidR="000D7EE8" w:rsidRDefault="000D7EE8" w:rsidP="000D7EE8">
    <w:pPr>
      <w:pStyle w:val="Footer"/>
      <w:pBdr>
        <w:bottom w:val="single" w:sz="12" w:space="1" w:color="auto"/>
      </w:pBdr>
      <w:rPr>
        <w:rFonts w:ascii="Arial" w:hAnsi="Arial" w:cs="Arial"/>
        <w:b/>
        <w:bCs/>
      </w:rPr>
    </w:pPr>
  </w:p>
  <w:p w14:paraId="75D36337" w14:textId="7E93E77B"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E163D1">
      <w:rPr>
        <w:rFonts w:ascii="Arial" w:hAnsi="Arial" w:cs="Arial"/>
        <w:b/>
        <w:bCs/>
      </w:rPr>
      <w:t>6</w:t>
    </w:r>
    <w:r w:rsidR="000D7EE8" w:rsidRPr="00604C65">
      <w:rPr>
        <w:rFonts w:ascii="Arial" w:hAnsi="Arial" w:cs="Arial"/>
        <w:b/>
        <w:bCs/>
      </w:rPr>
      <w:t xml:space="preserve">00: </w:t>
    </w:r>
    <w:r w:rsidR="00E163D1">
      <w:rPr>
        <w:rFonts w:ascii="Arial" w:hAnsi="Arial" w:cs="Arial"/>
        <w:b/>
        <w:bCs/>
      </w:rPr>
      <w:t>EDUCATIONAL PROGRAMS</w:t>
    </w:r>
    <w:r w:rsidR="000D7EE8">
      <w:rPr>
        <w:rFonts w:ascii="Arial" w:hAnsi="Arial" w:cs="Arial"/>
        <w:b/>
        <w:bCs/>
      </w:rPr>
      <w:tab/>
    </w:r>
    <w:r w:rsidR="0049773C">
      <w:rPr>
        <w:rFonts w:ascii="Arial" w:hAnsi="Arial" w:cs="Arial"/>
      </w:rPr>
      <w:t xml:space="preserve">© </w:t>
    </w:r>
    <w:r w:rsidR="002A49F1">
      <w:rPr>
        <w:rFonts w:ascii="Arial" w:hAnsi="Arial" w:cs="Arial"/>
      </w:rPr>
      <w:t>202</w:t>
    </w:r>
    <w:r w:rsidR="00D92D91">
      <w:rPr>
        <w:rFonts w:ascii="Arial" w:hAnsi="Arial" w:cs="Arial"/>
      </w:rPr>
      <w:t>5</w:t>
    </w:r>
    <w:r w:rsidR="002A49F1">
      <w:rPr>
        <w:rFonts w:ascii="Arial" w:hAnsi="Arial" w:cs="Arial"/>
      </w:rPr>
      <w:t xml:space="preserve"> </w:t>
    </w:r>
    <w:proofErr w:type="spellStart"/>
    <w:r w:rsidR="002A49F1">
      <w:rPr>
        <w:rFonts w:ascii="Arial" w:hAnsi="Arial" w:cs="Arial"/>
      </w:rPr>
      <w:t>Holinka</w:t>
    </w:r>
    <w:proofErr w:type="spellEnd"/>
    <w:r w:rsidR="002A49F1">
      <w:rPr>
        <w:rFonts w:ascii="Arial" w:hAnsi="Arial" w:cs="Arial"/>
      </w:rPr>
      <w:t xml:space="preserve"> Law, P.C.</w:t>
    </w:r>
  </w:p>
  <w:p w14:paraId="006AA3B0" w14:textId="72803AAA" w:rsidR="00E163D1" w:rsidRPr="00551495" w:rsidRDefault="00E163D1" w:rsidP="00E163D1">
    <w:pPr>
      <w:pStyle w:val="Footer"/>
      <w:tabs>
        <w:tab w:val="clear" w:pos="4320"/>
        <w:tab w:val="clear" w:pos="8640"/>
        <w:tab w:val="right" w:pos="9360"/>
      </w:tabs>
      <w:jc w:val="right"/>
      <w:rPr>
        <w:rFonts w:ascii="Arial" w:hAnsi="Arial" w:cs="Arial"/>
      </w:rPr>
    </w:pPr>
    <w:r>
      <w:rPr>
        <w:rFonts w:ascii="Arial" w:hAnsi="Arial" w:cs="Arial"/>
        <w:sz w:val="16"/>
      </w:rPr>
      <w:t>10L-D2/12/98-D</w:t>
    </w:r>
    <w:r w:rsidRPr="00551495">
      <w:rPr>
        <w:rFonts w:ascii="Arial" w:hAnsi="Arial" w:cs="Arial"/>
        <w:sz w:val="16"/>
      </w:rPr>
      <w:t>2/4/10</w:t>
    </w:r>
    <w:r>
      <w:rPr>
        <w:rFonts w:ascii="Arial" w:hAnsi="Arial" w:cs="Arial"/>
        <w:sz w:val="16"/>
      </w:rPr>
      <w:t>-M01/10/13-M04/01/14</w:t>
    </w:r>
    <w:r w:rsidR="00D92D91">
      <w:rPr>
        <w:rFonts w:ascii="Arial" w:hAnsi="Arial" w:cs="Arial"/>
        <w:sz w:val="16"/>
      </w:rPr>
      <w:t>-M0</w:t>
    </w:r>
    <w:r w:rsidR="00452C78">
      <w:rPr>
        <w:rFonts w:ascii="Arial" w:hAnsi="Arial" w:cs="Arial"/>
        <w:sz w:val="16"/>
      </w:rPr>
      <w:t>2/14</w:t>
    </w:r>
    <w:r w:rsidR="00D92D91">
      <w:rPr>
        <w:rFonts w:ascii="Arial" w:hAnsi="Arial" w:cs="Arial"/>
        <w:sz w:val="16"/>
      </w:rPr>
      <w:t>/25</w:t>
    </w:r>
  </w:p>
  <w:p w14:paraId="49922BD1" w14:textId="16163BF4" w:rsidR="00134220" w:rsidRPr="000D7EE8" w:rsidRDefault="00134220" w:rsidP="000D7EE8">
    <w:pPr>
      <w:pStyle w:val="Footer"/>
      <w:tabs>
        <w:tab w:val="clear" w:pos="4320"/>
        <w:tab w:val="clear" w:pos="8640"/>
        <w:tab w:val="right" w:pos="9360"/>
      </w:tabs>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76EC5" w14:textId="77777777" w:rsidR="00F503E9" w:rsidRDefault="00F503E9">
      <w:r>
        <w:separator/>
      </w:r>
    </w:p>
  </w:footnote>
  <w:footnote w:type="continuationSeparator" w:id="0">
    <w:p w14:paraId="1856B008" w14:textId="77777777" w:rsidR="00F503E9" w:rsidRDefault="00F50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F355C" w14:textId="0163FE98" w:rsidR="00FD500E" w:rsidRPr="004C217E" w:rsidRDefault="00E163D1"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Section 504:  Hearing Procedure</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A74B43">
      <w:rPr>
        <w:rStyle w:val="PageNumber"/>
        <w:rFonts w:ascii="Arial" w:hAnsi="Arial" w:cs="Arial"/>
      </w:rPr>
      <w:t>5</w:t>
    </w:r>
  </w:p>
  <w:p w14:paraId="08AF16EB"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400ED8AA"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45"/>
      <w:gridCol w:w="4893"/>
      <w:gridCol w:w="2324"/>
    </w:tblGrid>
    <w:tr w:rsidR="00FD500E" w14:paraId="45904516" w14:textId="77777777">
      <w:trPr>
        <w:cantSplit/>
      </w:trPr>
      <w:tc>
        <w:tcPr>
          <w:tcW w:w="1980" w:type="dxa"/>
        </w:tcPr>
        <w:p w14:paraId="15B2F414" w14:textId="77777777" w:rsidR="00FD500E" w:rsidRPr="004C217E" w:rsidRDefault="00FD500E">
          <w:pPr>
            <w:pStyle w:val="Header"/>
            <w:rPr>
              <w:rFonts w:ascii="Arial" w:hAnsi="Arial" w:cs="Arial"/>
              <w:b/>
              <w:bCs/>
            </w:rPr>
          </w:pPr>
        </w:p>
        <w:p w14:paraId="0D4A56D2"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77F16890" w14:textId="77777777" w:rsidR="00FD500E" w:rsidRPr="004C217E" w:rsidRDefault="00FD500E">
          <w:pPr>
            <w:pStyle w:val="Header"/>
            <w:rPr>
              <w:rFonts w:ascii="Arial" w:hAnsi="Arial" w:cs="Arial"/>
              <w:b/>
              <w:bCs/>
            </w:rPr>
          </w:pPr>
        </w:p>
        <w:p w14:paraId="034557F3" w14:textId="6C32B842" w:rsidR="008F021B" w:rsidRPr="004C217E" w:rsidRDefault="00E163D1" w:rsidP="00EA42DC">
          <w:pPr>
            <w:pStyle w:val="Header"/>
            <w:tabs>
              <w:tab w:val="clear" w:pos="4320"/>
              <w:tab w:val="clear" w:pos="8640"/>
            </w:tabs>
            <w:rPr>
              <w:rFonts w:ascii="Arial" w:hAnsi="Arial" w:cs="Arial"/>
              <w:b/>
              <w:bCs/>
            </w:rPr>
          </w:pPr>
          <w:r>
            <w:rPr>
              <w:rFonts w:ascii="Arial" w:hAnsi="Arial" w:cs="Arial"/>
              <w:b/>
              <w:bCs/>
            </w:rPr>
            <w:t>Section 504:  Hearing Procedure</w:t>
          </w:r>
        </w:p>
      </w:tc>
      <w:tc>
        <w:tcPr>
          <w:tcW w:w="2380" w:type="dxa"/>
        </w:tcPr>
        <w:p w14:paraId="164BADAB" w14:textId="77777777" w:rsidR="00FD500E" w:rsidRPr="004C217E" w:rsidRDefault="00FD500E">
          <w:pPr>
            <w:pStyle w:val="Header"/>
            <w:rPr>
              <w:rFonts w:ascii="Arial" w:hAnsi="Arial" w:cs="Arial"/>
              <w:b/>
              <w:bCs/>
            </w:rPr>
          </w:pPr>
        </w:p>
        <w:p w14:paraId="705228ED" w14:textId="6A7C6352"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E163D1">
            <w:rPr>
              <w:rFonts w:ascii="Arial" w:hAnsi="Arial" w:cs="Arial"/>
              <w:b/>
              <w:bCs/>
            </w:rPr>
            <w:t>671P1</w:t>
          </w:r>
        </w:p>
        <w:p w14:paraId="1AF8F899" w14:textId="26E76192"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w:t>
          </w:r>
          <w:r w:rsidR="00A74B43">
            <w:rPr>
              <w:rFonts w:ascii="Arial" w:hAnsi="Arial" w:cs="Arial"/>
              <w:b/>
              <w:bCs/>
            </w:rPr>
            <w:t>5</w:t>
          </w:r>
          <w:r w:rsidR="00E368D5" w:rsidRPr="004C217E">
            <w:rPr>
              <w:rFonts w:ascii="Arial" w:hAnsi="Arial" w:cs="Arial"/>
              <w:b/>
              <w:bCs/>
            </w:rPr>
            <w:t xml:space="preserve"> </w:t>
          </w:r>
        </w:p>
        <w:p w14:paraId="5C65B9A8" w14:textId="77777777" w:rsidR="00FD500E" w:rsidRPr="004C217E" w:rsidRDefault="00FD500E">
          <w:pPr>
            <w:pStyle w:val="Header"/>
            <w:jc w:val="right"/>
            <w:rPr>
              <w:rFonts w:ascii="Arial" w:hAnsi="Arial" w:cs="Arial"/>
              <w:b/>
              <w:bCs/>
            </w:rPr>
          </w:pPr>
        </w:p>
      </w:tc>
    </w:tr>
  </w:tbl>
  <w:p w14:paraId="4AB73BC7"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A6E83"/>
    <w:multiLevelType w:val="hybridMultilevel"/>
    <w:tmpl w:val="80023544"/>
    <w:lvl w:ilvl="0" w:tplc="BCF0F4CA">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83674"/>
    <w:multiLevelType w:val="hybridMultilevel"/>
    <w:tmpl w:val="A73C1F06"/>
    <w:lvl w:ilvl="0" w:tplc="5B0C68B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C364D93"/>
    <w:multiLevelType w:val="hybridMultilevel"/>
    <w:tmpl w:val="40B01930"/>
    <w:lvl w:ilvl="0" w:tplc="94A4F492">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55829"/>
    <w:multiLevelType w:val="hybridMultilevel"/>
    <w:tmpl w:val="6C1A8E04"/>
    <w:lvl w:ilvl="0" w:tplc="9DE87D4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64DB1"/>
    <w:multiLevelType w:val="hybridMultilevel"/>
    <w:tmpl w:val="4E1887E0"/>
    <w:lvl w:ilvl="0" w:tplc="688EA7B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2123E"/>
    <w:multiLevelType w:val="hybridMultilevel"/>
    <w:tmpl w:val="C01214AA"/>
    <w:lvl w:ilvl="0" w:tplc="D812BAF4">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52EB3B76"/>
    <w:multiLevelType w:val="hybridMultilevel"/>
    <w:tmpl w:val="7A8A5EEC"/>
    <w:lvl w:ilvl="0" w:tplc="A7D66866">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3261CCB"/>
    <w:multiLevelType w:val="hybridMultilevel"/>
    <w:tmpl w:val="FD4006D2"/>
    <w:lvl w:ilvl="0" w:tplc="43685916">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61282"/>
    <w:multiLevelType w:val="hybridMultilevel"/>
    <w:tmpl w:val="38D23EEE"/>
    <w:lvl w:ilvl="0" w:tplc="C6CAE6A0">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21"/>
  </w:num>
  <w:num w:numId="4">
    <w:abstractNumId w:val="14"/>
  </w:num>
  <w:num w:numId="5">
    <w:abstractNumId w:val="4"/>
  </w:num>
  <w:num w:numId="6">
    <w:abstractNumId w:val="0"/>
    <w:lvlOverride w:ilvl="0">
      <w:startOverride w:val="1"/>
      <w:lvl w:ilvl="0">
        <w:start w:val="1"/>
        <w:numFmt w:val="decimal"/>
        <w:pStyle w:val="1"/>
        <w:lvlText w:val="%1."/>
        <w:lvlJc w:val="left"/>
      </w:lvl>
    </w:lvlOverride>
  </w:num>
  <w:num w:numId="7">
    <w:abstractNumId w:val="29"/>
  </w:num>
  <w:num w:numId="8">
    <w:abstractNumId w:val="15"/>
  </w:num>
  <w:num w:numId="9">
    <w:abstractNumId w:val="34"/>
  </w:num>
  <w:num w:numId="10">
    <w:abstractNumId w:val="25"/>
  </w:num>
  <w:num w:numId="11">
    <w:abstractNumId w:val="9"/>
  </w:num>
  <w:num w:numId="12">
    <w:abstractNumId w:val="35"/>
  </w:num>
  <w:num w:numId="13">
    <w:abstractNumId w:val="6"/>
  </w:num>
  <w:num w:numId="14">
    <w:abstractNumId w:val="36"/>
  </w:num>
  <w:num w:numId="15">
    <w:abstractNumId w:val="16"/>
  </w:num>
  <w:num w:numId="16">
    <w:abstractNumId w:val="12"/>
  </w:num>
  <w:num w:numId="17">
    <w:abstractNumId w:val="28"/>
  </w:num>
  <w:num w:numId="18">
    <w:abstractNumId w:val="30"/>
  </w:num>
  <w:num w:numId="19">
    <w:abstractNumId w:val="1"/>
  </w:num>
  <w:num w:numId="20">
    <w:abstractNumId w:val="19"/>
  </w:num>
  <w:num w:numId="21">
    <w:abstractNumId w:val="18"/>
  </w:num>
  <w:num w:numId="22">
    <w:abstractNumId w:val="31"/>
  </w:num>
  <w:num w:numId="23">
    <w:abstractNumId w:val="26"/>
  </w:num>
  <w:num w:numId="24">
    <w:abstractNumId w:val="32"/>
  </w:num>
  <w:num w:numId="25">
    <w:abstractNumId w:val="17"/>
  </w:num>
  <w:num w:numId="26">
    <w:abstractNumId w:val="33"/>
  </w:num>
  <w:num w:numId="27">
    <w:abstractNumId w:val="8"/>
  </w:num>
  <w:num w:numId="28">
    <w:abstractNumId w:val="7"/>
  </w:num>
  <w:num w:numId="29">
    <w:abstractNumId w:val="11"/>
  </w:num>
  <w:num w:numId="30">
    <w:abstractNumId w:val="24"/>
  </w:num>
  <w:num w:numId="31">
    <w:abstractNumId w:val="27"/>
  </w:num>
  <w:num w:numId="32">
    <w:abstractNumId w:val="23"/>
  </w:num>
  <w:num w:numId="33">
    <w:abstractNumId w:val="10"/>
  </w:num>
  <w:num w:numId="34">
    <w:abstractNumId w:val="20"/>
  </w:num>
  <w:num w:numId="35">
    <w:abstractNumId w:val="22"/>
  </w:num>
  <w:num w:numId="36">
    <w:abstractNumId w:val="1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0"/>
    <w:rsid w:val="00004558"/>
    <w:rsid w:val="00006751"/>
    <w:rsid w:val="000167D6"/>
    <w:rsid w:val="000270DD"/>
    <w:rsid w:val="00073A08"/>
    <w:rsid w:val="00091A62"/>
    <w:rsid w:val="0009315D"/>
    <w:rsid w:val="000A46B2"/>
    <w:rsid w:val="000C0A74"/>
    <w:rsid w:val="000C11D5"/>
    <w:rsid w:val="000D7EE8"/>
    <w:rsid w:val="0010066B"/>
    <w:rsid w:val="00100920"/>
    <w:rsid w:val="0010178E"/>
    <w:rsid w:val="0010609B"/>
    <w:rsid w:val="001072D1"/>
    <w:rsid w:val="00120504"/>
    <w:rsid w:val="00134220"/>
    <w:rsid w:val="00135EB7"/>
    <w:rsid w:val="00141975"/>
    <w:rsid w:val="001569B7"/>
    <w:rsid w:val="001667F0"/>
    <w:rsid w:val="001815C9"/>
    <w:rsid w:val="00197A75"/>
    <w:rsid w:val="001B370F"/>
    <w:rsid w:val="001B4570"/>
    <w:rsid w:val="001E1089"/>
    <w:rsid w:val="001F67DB"/>
    <w:rsid w:val="00207979"/>
    <w:rsid w:val="00217803"/>
    <w:rsid w:val="0024275C"/>
    <w:rsid w:val="002826B7"/>
    <w:rsid w:val="002A4705"/>
    <w:rsid w:val="002A49F1"/>
    <w:rsid w:val="00306B46"/>
    <w:rsid w:val="0033150D"/>
    <w:rsid w:val="003534C2"/>
    <w:rsid w:val="00353802"/>
    <w:rsid w:val="003617D0"/>
    <w:rsid w:val="00371E79"/>
    <w:rsid w:val="00394119"/>
    <w:rsid w:val="003B289B"/>
    <w:rsid w:val="003F0D92"/>
    <w:rsid w:val="00414667"/>
    <w:rsid w:val="004353E4"/>
    <w:rsid w:val="0043693A"/>
    <w:rsid w:val="00452C78"/>
    <w:rsid w:val="00470E6E"/>
    <w:rsid w:val="0049773C"/>
    <w:rsid w:val="004C217E"/>
    <w:rsid w:val="004C2E85"/>
    <w:rsid w:val="004C53FC"/>
    <w:rsid w:val="004C5D81"/>
    <w:rsid w:val="00502D55"/>
    <w:rsid w:val="00511FDA"/>
    <w:rsid w:val="00516907"/>
    <w:rsid w:val="00534260"/>
    <w:rsid w:val="0055426D"/>
    <w:rsid w:val="00580ECA"/>
    <w:rsid w:val="005A3708"/>
    <w:rsid w:val="005A37A6"/>
    <w:rsid w:val="005C2AD9"/>
    <w:rsid w:val="005C45DB"/>
    <w:rsid w:val="005F2EA5"/>
    <w:rsid w:val="00604C65"/>
    <w:rsid w:val="006173DB"/>
    <w:rsid w:val="00633C25"/>
    <w:rsid w:val="00634E15"/>
    <w:rsid w:val="006A548E"/>
    <w:rsid w:val="006A7CFA"/>
    <w:rsid w:val="006E5949"/>
    <w:rsid w:val="006F08D7"/>
    <w:rsid w:val="006F10CA"/>
    <w:rsid w:val="006F649B"/>
    <w:rsid w:val="007552DF"/>
    <w:rsid w:val="00766540"/>
    <w:rsid w:val="00766B21"/>
    <w:rsid w:val="00771988"/>
    <w:rsid w:val="00786624"/>
    <w:rsid w:val="007A3925"/>
    <w:rsid w:val="007A4E4B"/>
    <w:rsid w:val="007A531F"/>
    <w:rsid w:val="007C2B52"/>
    <w:rsid w:val="007F1ABF"/>
    <w:rsid w:val="007F76A2"/>
    <w:rsid w:val="0080073C"/>
    <w:rsid w:val="0080680A"/>
    <w:rsid w:val="00843244"/>
    <w:rsid w:val="0084510D"/>
    <w:rsid w:val="00860E8D"/>
    <w:rsid w:val="008705F1"/>
    <w:rsid w:val="008A36EE"/>
    <w:rsid w:val="008B036E"/>
    <w:rsid w:val="008D5197"/>
    <w:rsid w:val="008E07AD"/>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74B43"/>
    <w:rsid w:val="00A835BD"/>
    <w:rsid w:val="00A95A14"/>
    <w:rsid w:val="00AA088F"/>
    <w:rsid w:val="00AA72B0"/>
    <w:rsid w:val="00AC5C4A"/>
    <w:rsid w:val="00AD43A6"/>
    <w:rsid w:val="00AF2801"/>
    <w:rsid w:val="00AF297C"/>
    <w:rsid w:val="00B01738"/>
    <w:rsid w:val="00B10637"/>
    <w:rsid w:val="00B2431C"/>
    <w:rsid w:val="00B411AF"/>
    <w:rsid w:val="00B61A44"/>
    <w:rsid w:val="00B82F5E"/>
    <w:rsid w:val="00B87B11"/>
    <w:rsid w:val="00BA4E70"/>
    <w:rsid w:val="00BC0EE1"/>
    <w:rsid w:val="00BC4137"/>
    <w:rsid w:val="00BC4A66"/>
    <w:rsid w:val="00BD3D49"/>
    <w:rsid w:val="00BE4E42"/>
    <w:rsid w:val="00C10D68"/>
    <w:rsid w:val="00C25903"/>
    <w:rsid w:val="00C502A7"/>
    <w:rsid w:val="00C530FB"/>
    <w:rsid w:val="00C631D6"/>
    <w:rsid w:val="00CB1274"/>
    <w:rsid w:val="00CB49CE"/>
    <w:rsid w:val="00CC04FC"/>
    <w:rsid w:val="00CC198C"/>
    <w:rsid w:val="00D06CEC"/>
    <w:rsid w:val="00D661ED"/>
    <w:rsid w:val="00D703FB"/>
    <w:rsid w:val="00D77D1A"/>
    <w:rsid w:val="00D92D91"/>
    <w:rsid w:val="00DD1E70"/>
    <w:rsid w:val="00DF5E71"/>
    <w:rsid w:val="00E03A26"/>
    <w:rsid w:val="00E163D1"/>
    <w:rsid w:val="00E27406"/>
    <w:rsid w:val="00E323D7"/>
    <w:rsid w:val="00E368D5"/>
    <w:rsid w:val="00E5078B"/>
    <w:rsid w:val="00E64D6E"/>
    <w:rsid w:val="00E66B2A"/>
    <w:rsid w:val="00E80C98"/>
    <w:rsid w:val="00EA2EA2"/>
    <w:rsid w:val="00EA42DC"/>
    <w:rsid w:val="00EF777A"/>
    <w:rsid w:val="00F22792"/>
    <w:rsid w:val="00F35075"/>
    <w:rsid w:val="00F503E9"/>
    <w:rsid w:val="00F737D0"/>
    <w:rsid w:val="00F81549"/>
    <w:rsid w:val="00F86A8D"/>
    <w:rsid w:val="00F926C2"/>
    <w:rsid w:val="00FB6139"/>
    <w:rsid w:val="00FD230C"/>
    <w:rsid w:val="00FD4216"/>
    <w:rsid w:val="00FD500E"/>
    <w:rsid w:val="00FE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871A59"/>
  <w15:chartTrackingRefBased/>
  <w15:docId w15:val="{CC4763FC-4CE5-4880-AA69-41BA1803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link w:val="FooterChar"/>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 w:type="character" w:customStyle="1" w:styleId="FooterChar">
    <w:name w:val="Footer Char"/>
    <w:link w:val="Footer"/>
    <w:locked/>
    <w:rsid w:val="00E163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10F39-483D-41CA-87EA-6BB313AB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1574</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2</cp:revision>
  <cp:lastPrinted>2001-07-25T22:21:00Z</cp:lastPrinted>
  <dcterms:created xsi:type="dcterms:W3CDTF">2026-01-20T21:11:00Z</dcterms:created>
  <dcterms:modified xsi:type="dcterms:W3CDTF">2026-01-20T21:11:00Z</dcterms:modified>
</cp:coreProperties>
</file>