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184E5" w14:textId="4FE56BA5" w:rsidR="00ED6CA4" w:rsidRPr="00D73491" w:rsidRDefault="00ED6CA4" w:rsidP="008A33DD">
      <w:pPr>
        <w:jc w:val="both"/>
      </w:pPr>
      <w:r w:rsidRPr="00D73491">
        <w:t xml:space="preserve">At the beginning of the employment year, all non-certificated employees of this district, who regularly work twenty (20) hours or more per week, and all certificated employees, who work half-time or more per week, will be entitled to sick leave with full pay of one (1) day for each month of service in which they work a majority portion of that month, as projected for the employment year.  </w:t>
      </w:r>
      <w:r w:rsidRPr="00D73491">
        <w:rPr>
          <w:iCs/>
        </w:rPr>
        <w:t>Employ</w:t>
      </w:r>
      <w:bookmarkStart w:id="0" w:name="_GoBack"/>
      <w:bookmarkEnd w:id="0"/>
      <w:r w:rsidRPr="00D73491">
        <w:rPr>
          <w:iCs/>
        </w:rPr>
        <w:t xml:space="preserve">ees who work more than </w:t>
      </w:r>
      <w:r w:rsidR="00D904C1" w:rsidRPr="00D73491">
        <w:rPr>
          <w:iCs/>
        </w:rPr>
        <w:t>twenty (</w:t>
      </w:r>
      <w:r w:rsidRPr="00D73491">
        <w:rPr>
          <w:iCs/>
        </w:rPr>
        <w:t>20</w:t>
      </w:r>
      <w:r w:rsidR="00D904C1" w:rsidRPr="00D73491">
        <w:rPr>
          <w:iCs/>
        </w:rPr>
        <w:t>)</w:t>
      </w:r>
      <w:r w:rsidRPr="00D73491">
        <w:rPr>
          <w:iCs/>
        </w:rPr>
        <w:t xml:space="preserve"> hours per week, but less than full-time, will have the sick leave prorated by the full-time equivalent (FTE) worked.</w:t>
      </w:r>
      <w:r w:rsidRPr="00D73491">
        <w:t xml:space="preserve">  </w:t>
      </w:r>
    </w:p>
    <w:p w14:paraId="5E140ED8" w14:textId="5CE846FD" w:rsidR="00ED6CA4" w:rsidRPr="00D73491" w:rsidRDefault="00ED6CA4" w:rsidP="008A33DD">
      <w:pPr>
        <w:jc w:val="both"/>
      </w:pPr>
    </w:p>
    <w:p w14:paraId="428A6383" w14:textId="77777777" w:rsidR="003E16B4" w:rsidRPr="00D73491" w:rsidRDefault="003E16B4" w:rsidP="008A33DD">
      <w:pPr>
        <w:jc w:val="both"/>
        <w:rPr>
          <w:b/>
        </w:rPr>
      </w:pPr>
      <w:r w:rsidRPr="00D73491">
        <w:rPr>
          <w:b/>
        </w:rPr>
        <w:t>DEFINITIONS</w:t>
      </w:r>
    </w:p>
    <w:p w14:paraId="521879C5" w14:textId="77777777" w:rsidR="003E16B4" w:rsidRPr="00D73491" w:rsidRDefault="003E16B4" w:rsidP="008A33DD">
      <w:pPr>
        <w:jc w:val="both"/>
      </w:pPr>
    </w:p>
    <w:p w14:paraId="10046AF6" w14:textId="77777777" w:rsidR="00ED6CA4" w:rsidRPr="00D73491" w:rsidRDefault="00ED6CA4" w:rsidP="008A33DD">
      <w:pPr>
        <w:jc w:val="both"/>
        <w:rPr>
          <w:iCs/>
        </w:rPr>
      </w:pPr>
      <w:r w:rsidRPr="00D73491">
        <w:rPr>
          <w:iCs/>
        </w:rPr>
        <w:t>“Employment year” begin</w:t>
      </w:r>
      <w:r w:rsidR="00730821" w:rsidRPr="00D73491">
        <w:rPr>
          <w:iCs/>
        </w:rPr>
        <w:t>s</w:t>
      </w:r>
      <w:r w:rsidRPr="00D73491">
        <w:rPr>
          <w:iCs/>
        </w:rPr>
        <w:t xml:space="preserve"> July 1 and continu</w:t>
      </w:r>
      <w:r w:rsidR="00730821" w:rsidRPr="00D73491">
        <w:rPr>
          <w:iCs/>
        </w:rPr>
        <w:t>es</w:t>
      </w:r>
      <w:r w:rsidRPr="00D73491">
        <w:rPr>
          <w:iCs/>
        </w:rPr>
        <w:t xml:space="preserve"> through June 30 of the following year.  </w:t>
      </w:r>
    </w:p>
    <w:p w14:paraId="14882487" w14:textId="77777777" w:rsidR="00ED6CA4" w:rsidRPr="00D73491" w:rsidRDefault="00ED6CA4" w:rsidP="008A33DD">
      <w:pPr>
        <w:jc w:val="both"/>
        <w:rPr>
          <w:iCs/>
        </w:rPr>
      </w:pPr>
    </w:p>
    <w:p w14:paraId="77E7C1E1" w14:textId="66393C7A" w:rsidR="00973C5B" w:rsidRPr="00D73491" w:rsidRDefault="00973C5B" w:rsidP="008A33DD">
      <w:pPr>
        <w:jc w:val="both"/>
        <w:rPr>
          <w:iCs/>
        </w:rPr>
      </w:pPr>
      <w:r w:rsidRPr="00D73491">
        <w:rPr>
          <w:iCs/>
        </w:rPr>
        <w:t xml:space="preserve">“Immediate family” means the employee’s spouse and children residing in the employee’s household.  </w:t>
      </w:r>
    </w:p>
    <w:p w14:paraId="3CD207DC" w14:textId="77777777" w:rsidR="00973C5B" w:rsidRPr="00D73491" w:rsidRDefault="00973C5B" w:rsidP="008A33DD">
      <w:pPr>
        <w:jc w:val="both"/>
        <w:rPr>
          <w:iCs/>
        </w:rPr>
      </w:pPr>
    </w:p>
    <w:p w14:paraId="45EE1B9F" w14:textId="3FE96580" w:rsidR="00ED6CA4" w:rsidRPr="00D73491" w:rsidRDefault="00ED6CA4" w:rsidP="008A33DD">
      <w:pPr>
        <w:jc w:val="both"/>
        <w:rPr>
          <w:iCs/>
        </w:rPr>
      </w:pPr>
      <w:r w:rsidRPr="00D73491">
        <w:rPr>
          <w:iCs/>
        </w:rPr>
        <w:t xml:space="preserve">“Month of service” </w:t>
      </w:r>
      <w:r w:rsidR="00730821" w:rsidRPr="00D73491">
        <w:rPr>
          <w:iCs/>
        </w:rPr>
        <w:t xml:space="preserve">means </w:t>
      </w:r>
      <w:r w:rsidRPr="00D73491">
        <w:rPr>
          <w:iCs/>
        </w:rPr>
        <w:t>the individual employee’s monthly work schedule for which they are hired to work.</w:t>
      </w:r>
    </w:p>
    <w:p w14:paraId="5AA66EAA" w14:textId="77777777" w:rsidR="00733852" w:rsidRPr="00D73491" w:rsidRDefault="00733852" w:rsidP="008A33DD">
      <w:pPr>
        <w:jc w:val="both"/>
        <w:rPr>
          <w:iCs/>
        </w:rPr>
      </w:pPr>
    </w:p>
    <w:p w14:paraId="577271EA" w14:textId="77777777" w:rsidR="00ED6CA4" w:rsidRPr="00D73491" w:rsidRDefault="00ED6CA4" w:rsidP="008A33DD">
      <w:pPr>
        <w:jc w:val="both"/>
        <w:rPr>
          <w:iCs/>
        </w:rPr>
      </w:pPr>
      <w:r w:rsidRPr="00D73491">
        <w:rPr>
          <w:iCs/>
        </w:rPr>
        <w:t xml:space="preserve">“Substitute employee” </w:t>
      </w:r>
      <w:r w:rsidR="00730821" w:rsidRPr="00D73491">
        <w:rPr>
          <w:iCs/>
        </w:rPr>
        <w:t>means</w:t>
      </w:r>
      <w:r w:rsidRPr="00D73491">
        <w:rPr>
          <w:iCs/>
        </w:rPr>
        <w:t xml:space="preserve"> an employee who works on an as-needed basis and who is not given a regular work schedule. </w:t>
      </w:r>
    </w:p>
    <w:p w14:paraId="5C891179" w14:textId="77777777" w:rsidR="00ED6CA4" w:rsidRPr="00D73491" w:rsidRDefault="00ED6CA4" w:rsidP="008A33DD">
      <w:pPr>
        <w:jc w:val="both"/>
      </w:pPr>
    </w:p>
    <w:p w14:paraId="11702547" w14:textId="3823C902" w:rsidR="00ED6CA4" w:rsidRPr="00D73491" w:rsidRDefault="00ED6CA4" w:rsidP="008A33DD">
      <w:pPr>
        <w:pStyle w:val="Heading1"/>
        <w:jc w:val="both"/>
      </w:pPr>
      <w:r w:rsidRPr="00D73491">
        <w:t>CALCULATION OF SICK LEAVE</w:t>
      </w:r>
    </w:p>
    <w:p w14:paraId="1652D1DD" w14:textId="77777777" w:rsidR="00ED6CA4" w:rsidRPr="00D73491" w:rsidRDefault="00ED6CA4" w:rsidP="008A33DD">
      <w:pPr>
        <w:jc w:val="both"/>
      </w:pPr>
    </w:p>
    <w:p w14:paraId="0249C030" w14:textId="61558413" w:rsidR="00ED6CA4" w:rsidRPr="00D73491" w:rsidRDefault="00ED6CA4" w:rsidP="008A33DD">
      <w:pPr>
        <w:jc w:val="both"/>
      </w:pPr>
      <w:r w:rsidRPr="00D73491">
        <w:t xml:space="preserve">Sick leave will be calculated pursuant to the employee’s “month of service,” as projected at the beginning of the employment year.  If it is projected that the employee will work a majority portion of the hours for which he/she is normally scheduled during any given month, he/she will be entitled to sick leave for that month.  Sick leave benefits will not be credited for those months in which the employee is not projected to work a majority portion of his/her month of service.  </w:t>
      </w:r>
      <w:r w:rsidR="00973C5B" w:rsidRPr="00D73491">
        <w:t>Nothing in this policy guarantees approval of the granting of sick leave.  Each request will be considered in accordance with this policy and the needs of the district.</w:t>
      </w:r>
    </w:p>
    <w:p w14:paraId="625EAE0D" w14:textId="77777777" w:rsidR="00ED6CA4" w:rsidRPr="00D73491" w:rsidRDefault="00ED6CA4" w:rsidP="008A33DD">
      <w:pPr>
        <w:jc w:val="both"/>
      </w:pPr>
    </w:p>
    <w:p w14:paraId="654826E7" w14:textId="77777777" w:rsidR="00ED6CA4" w:rsidRPr="00D73491" w:rsidRDefault="00ED6CA4" w:rsidP="008A33DD">
      <w:pPr>
        <w:jc w:val="both"/>
      </w:pPr>
      <w:r w:rsidRPr="00D73491">
        <w:rPr>
          <w:u w:val="single"/>
        </w:rPr>
        <w:t>Certificated Employees</w:t>
      </w:r>
      <w:r w:rsidRPr="00D73491">
        <w:t>:  Sick leave for certificated employees will be calculated by the day, or percentage thereof, as defined in the individual employee’s contract.  Additional sick leave may be provided to certificated personnel when the negotiated agreement between the district and the local education organization so specifies.</w:t>
      </w:r>
    </w:p>
    <w:p w14:paraId="1C095844" w14:textId="77777777" w:rsidR="00ED6CA4" w:rsidRPr="00D73491" w:rsidRDefault="00ED6CA4" w:rsidP="008A33DD">
      <w:pPr>
        <w:jc w:val="both"/>
        <w:rPr>
          <w:iCs/>
        </w:rPr>
      </w:pPr>
    </w:p>
    <w:p w14:paraId="2D8BF535" w14:textId="732BDC8B" w:rsidR="00ED6CA4" w:rsidRPr="00D73491" w:rsidRDefault="00A41189" w:rsidP="008A33DD">
      <w:pPr>
        <w:jc w:val="both"/>
        <w:rPr>
          <w:iCs/>
        </w:rPr>
      </w:pPr>
      <w:r w:rsidRPr="00D73491">
        <w:rPr>
          <w:iCs/>
          <w:u w:val="single"/>
        </w:rPr>
        <w:t>Classified</w:t>
      </w:r>
      <w:r w:rsidR="00ED6CA4" w:rsidRPr="00D73491">
        <w:rPr>
          <w:iCs/>
          <w:u w:val="single"/>
        </w:rPr>
        <w:t>, Full-Time Employees</w:t>
      </w:r>
      <w:r w:rsidR="00ED6CA4" w:rsidRPr="00D73491">
        <w:rPr>
          <w:iCs/>
        </w:rPr>
        <w:t xml:space="preserve">:  </w:t>
      </w:r>
      <w:r w:rsidRPr="00D73491">
        <w:rPr>
          <w:iCs/>
        </w:rPr>
        <w:t>Classified</w:t>
      </w:r>
      <w:r w:rsidR="00ED6CA4" w:rsidRPr="00D73491">
        <w:rPr>
          <w:iCs/>
        </w:rPr>
        <w:t xml:space="preserve">, full-time employees who are scheduled to work </w:t>
      </w:r>
      <w:r w:rsidR="00D904C1" w:rsidRPr="00D73491">
        <w:rPr>
          <w:iCs/>
        </w:rPr>
        <w:t>forty (</w:t>
      </w:r>
      <w:r w:rsidR="00ED6CA4" w:rsidRPr="00D73491">
        <w:rPr>
          <w:iCs/>
        </w:rPr>
        <w:t>40</w:t>
      </w:r>
      <w:r w:rsidR="007B17B0" w:rsidRPr="00D73491">
        <w:rPr>
          <w:iCs/>
        </w:rPr>
        <w:t>)</w:t>
      </w:r>
      <w:r w:rsidR="00ED6CA4" w:rsidRPr="00D73491">
        <w:rPr>
          <w:iCs/>
        </w:rPr>
        <w:t xml:space="preserve"> hours per week</w:t>
      </w:r>
      <w:r w:rsidR="00D904C1" w:rsidRPr="00D73491">
        <w:rPr>
          <w:iCs/>
        </w:rPr>
        <w:t>, twelve</w:t>
      </w:r>
      <w:r w:rsidR="00ED6CA4" w:rsidRPr="00D73491">
        <w:rPr>
          <w:iCs/>
        </w:rPr>
        <w:t xml:space="preserve"> </w:t>
      </w:r>
      <w:r w:rsidR="00D904C1" w:rsidRPr="00D73491">
        <w:rPr>
          <w:iCs/>
        </w:rPr>
        <w:t>(</w:t>
      </w:r>
      <w:r w:rsidR="00ED6CA4" w:rsidRPr="00D73491">
        <w:rPr>
          <w:iCs/>
        </w:rPr>
        <w:t>12</w:t>
      </w:r>
      <w:r w:rsidR="00D904C1" w:rsidRPr="00D73491">
        <w:rPr>
          <w:iCs/>
        </w:rPr>
        <w:t>)</w:t>
      </w:r>
      <w:r w:rsidR="00ED6CA4" w:rsidRPr="00D73491">
        <w:rPr>
          <w:iCs/>
        </w:rPr>
        <w:t xml:space="preserve"> months per year, will be credited sick leave at the rate of one (1) eight-hour day per month of service.  </w:t>
      </w:r>
      <w:r w:rsidRPr="00D73491">
        <w:rPr>
          <w:iCs/>
        </w:rPr>
        <w:t>Classified</w:t>
      </w:r>
      <w:r w:rsidR="00ED6CA4" w:rsidRPr="00D73491">
        <w:rPr>
          <w:iCs/>
        </w:rPr>
        <w:t xml:space="preserve">, </w:t>
      </w:r>
      <w:r w:rsidR="00D904C1" w:rsidRPr="00D73491">
        <w:rPr>
          <w:iCs/>
        </w:rPr>
        <w:t>twelve (</w:t>
      </w:r>
      <w:r w:rsidR="00ED6CA4" w:rsidRPr="00D73491">
        <w:rPr>
          <w:iCs/>
        </w:rPr>
        <w:t>12</w:t>
      </w:r>
      <w:r w:rsidR="00D904C1" w:rsidRPr="00D73491">
        <w:rPr>
          <w:iCs/>
        </w:rPr>
        <w:t>)</w:t>
      </w:r>
      <w:r w:rsidR="00ED6CA4" w:rsidRPr="00D73491">
        <w:rPr>
          <w:iCs/>
        </w:rPr>
        <w:t xml:space="preserve"> month employees who work less than full-time, but more than </w:t>
      </w:r>
      <w:r w:rsidR="00D904C1" w:rsidRPr="00D73491">
        <w:rPr>
          <w:iCs/>
        </w:rPr>
        <w:t>twenty (</w:t>
      </w:r>
      <w:r w:rsidR="00ED6CA4" w:rsidRPr="00D73491">
        <w:rPr>
          <w:iCs/>
        </w:rPr>
        <w:t>20</w:t>
      </w:r>
      <w:r w:rsidR="00D904C1" w:rsidRPr="00D73491">
        <w:rPr>
          <w:iCs/>
        </w:rPr>
        <w:t>)</w:t>
      </w:r>
      <w:r w:rsidR="00ED6CA4" w:rsidRPr="00D73491">
        <w:rPr>
          <w:iCs/>
        </w:rPr>
        <w:t xml:space="preserve"> hours per week, will be credited sick leave at a rate calculated proportionate to the average hours worked per day.   </w:t>
      </w:r>
    </w:p>
    <w:p w14:paraId="6D4AB72F" w14:textId="77777777" w:rsidR="00ED6CA4" w:rsidRPr="00D73491" w:rsidRDefault="00ED6CA4" w:rsidP="008A33DD">
      <w:pPr>
        <w:jc w:val="both"/>
        <w:rPr>
          <w:iCs/>
        </w:rPr>
      </w:pPr>
    </w:p>
    <w:p w14:paraId="66628A78" w14:textId="6DF66E15" w:rsidR="00ED6CA4" w:rsidRPr="00D73491" w:rsidRDefault="00A41189" w:rsidP="008A33DD">
      <w:pPr>
        <w:jc w:val="both"/>
        <w:rPr>
          <w:iCs/>
        </w:rPr>
      </w:pPr>
      <w:r w:rsidRPr="00D73491">
        <w:rPr>
          <w:iCs/>
          <w:u w:val="single"/>
        </w:rPr>
        <w:lastRenderedPageBreak/>
        <w:t>Classified</w:t>
      </w:r>
      <w:r w:rsidR="00ED6CA4" w:rsidRPr="00D73491">
        <w:rPr>
          <w:iCs/>
          <w:u w:val="single"/>
        </w:rPr>
        <w:t>, School-Year Employees</w:t>
      </w:r>
      <w:r w:rsidR="00ED6CA4" w:rsidRPr="00D73491">
        <w:rPr>
          <w:iCs/>
        </w:rPr>
        <w:t xml:space="preserve">:  </w:t>
      </w:r>
      <w:r w:rsidRPr="00D73491">
        <w:rPr>
          <w:iCs/>
        </w:rPr>
        <w:t>Classified</w:t>
      </w:r>
      <w:r w:rsidR="00ED6CA4" w:rsidRPr="00D73491">
        <w:rPr>
          <w:iCs/>
        </w:rPr>
        <w:t xml:space="preserve"> employees who work less than full-time, but more than </w:t>
      </w:r>
      <w:r w:rsidR="00D904C1" w:rsidRPr="00D73491">
        <w:rPr>
          <w:iCs/>
        </w:rPr>
        <w:t>twenty (</w:t>
      </w:r>
      <w:r w:rsidR="00ED6CA4" w:rsidRPr="00D73491">
        <w:rPr>
          <w:iCs/>
        </w:rPr>
        <w:t>20</w:t>
      </w:r>
      <w:r w:rsidR="00D904C1" w:rsidRPr="00D73491">
        <w:rPr>
          <w:iCs/>
        </w:rPr>
        <w:t>)</w:t>
      </w:r>
      <w:r w:rsidR="00ED6CA4" w:rsidRPr="00D73491">
        <w:rPr>
          <w:iCs/>
        </w:rPr>
        <w:t xml:space="preserve"> hours per week, will be credited sick leave at a rate calculated proportionate to the average hours worked per school day for the months of September through June.   </w:t>
      </w:r>
    </w:p>
    <w:p w14:paraId="6D671C4C" w14:textId="77777777" w:rsidR="00ED6CA4" w:rsidRPr="00D73491" w:rsidRDefault="00ED6CA4" w:rsidP="008A33DD">
      <w:pPr>
        <w:jc w:val="both"/>
        <w:rPr>
          <w:iCs/>
        </w:rPr>
      </w:pPr>
    </w:p>
    <w:p w14:paraId="27B56F5F" w14:textId="77777777" w:rsidR="00ED6CA4" w:rsidRPr="00D73491" w:rsidRDefault="00ED6CA4" w:rsidP="008A33DD">
      <w:pPr>
        <w:jc w:val="both"/>
        <w:rPr>
          <w:iCs/>
        </w:rPr>
      </w:pPr>
      <w:r w:rsidRPr="00D73491">
        <w:rPr>
          <w:iCs/>
          <w:u w:val="single"/>
        </w:rPr>
        <w:t>Substitute Employees</w:t>
      </w:r>
      <w:r w:rsidRPr="00D73491">
        <w:rPr>
          <w:iCs/>
        </w:rPr>
        <w:t xml:space="preserve">:  Sick leave for substitute employees, who work more than </w:t>
      </w:r>
      <w:r w:rsidR="00D904C1" w:rsidRPr="00D73491">
        <w:rPr>
          <w:iCs/>
        </w:rPr>
        <w:t>twenty (</w:t>
      </w:r>
      <w:r w:rsidRPr="00D73491">
        <w:rPr>
          <w:iCs/>
        </w:rPr>
        <w:t>20</w:t>
      </w:r>
      <w:r w:rsidR="00D904C1" w:rsidRPr="00D73491">
        <w:rPr>
          <w:iCs/>
        </w:rPr>
        <w:t>)</w:t>
      </w:r>
      <w:r w:rsidRPr="00D73491">
        <w:rPr>
          <w:iCs/>
        </w:rPr>
        <w:t xml:space="preserve"> hours per week, will be projected by reviewing the hours typically worked in a particular job category.  The total number of hours worked during the prior year in the particular job category will be divided by the total number of employees employed in that job category.  The superintendent or designee may adjust the projection as necessary to account for anticipated changes in hours to be worked in a substitute status.  </w:t>
      </w:r>
    </w:p>
    <w:p w14:paraId="767E4861" w14:textId="77777777" w:rsidR="00ED6CA4" w:rsidRPr="00D73491" w:rsidRDefault="00ED6CA4" w:rsidP="008A33DD">
      <w:pPr>
        <w:pStyle w:val="Heading1"/>
        <w:jc w:val="both"/>
      </w:pPr>
    </w:p>
    <w:p w14:paraId="65ABAC45" w14:textId="77777777" w:rsidR="00ED6CA4" w:rsidRPr="00D73491" w:rsidRDefault="00ED6CA4" w:rsidP="008A33DD">
      <w:pPr>
        <w:pStyle w:val="Heading1"/>
        <w:jc w:val="both"/>
      </w:pPr>
      <w:r w:rsidRPr="00D73491">
        <w:t>NOTICE OF CREDITED SICK LEAVE</w:t>
      </w:r>
    </w:p>
    <w:p w14:paraId="05FCB6CD" w14:textId="77777777" w:rsidR="00ED6CA4" w:rsidRPr="00D73491" w:rsidRDefault="00ED6CA4" w:rsidP="008A33DD">
      <w:pPr>
        <w:jc w:val="both"/>
        <w:rPr>
          <w:b/>
          <w:bCs/>
        </w:rPr>
      </w:pPr>
    </w:p>
    <w:p w14:paraId="4AFD80E2" w14:textId="0CEAAD3C" w:rsidR="00ED6CA4" w:rsidRPr="00D73491" w:rsidRDefault="00ED6CA4" w:rsidP="008A33DD">
      <w:pPr>
        <w:jc w:val="both"/>
      </w:pPr>
      <w:r w:rsidRPr="00D73491">
        <w:t xml:space="preserve">Each employee will be credited sick leave for the employment year and notified of the sick leave benefits to which he/she is entitled at the beginning of the employment year or first day of employment if employment commences during the employment year. </w:t>
      </w:r>
    </w:p>
    <w:p w14:paraId="7A463098" w14:textId="77777777" w:rsidR="00ED6CA4" w:rsidRPr="00D73491" w:rsidRDefault="00ED6CA4" w:rsidP="008A33DD">
      <w:pPr>
        <w:jc w:val="both"/>
      </w:pPr>
    </w:p>
    <w:p w14:paraId="71C336E5" w14:textId="77777777" w:rsidR="00ED6CA4" w:rsidRPr="00D73491" w:rsidRDefault="00ED6CA4" w:rsidP="008A33DD">
      <w:pPr>
        <w:pStyle w:val="Heading1"/>
        <w:jc w:val="both"/>
      </w:pPr>
      <w:r w:rsidRPr="00D73491">
        <w:t>MEDICAL DOCUMENTATION</w:t>
      </w:r>
    </w:p>
    <w:p w14:paraId="691DDCCF" w14:textId="77777777" w:rsidR="00ED6CA4" w:rsidRPr="00D73491" w:rsidRDefault="00ED6CA4" w:rsidP="008A33DD">
      <w:pPr>
        <w:jc w:val="both"/>
      </w:pPr>
    </w:p>
    <w:p w14:paraId="39ACE783" w14:textId="0F785070" w:rsidR="00ED6CA4" w:rsidRPr="00D73491" w:rsidRDefault="00ED6CA4" w:rsidP="008A33DD">
      <w:pPr>
        <w:jc w:val="both"/>
        <w:rPr>
          <w:iCs/>
        </w:rPr>
      </w:pPr>
      <w:r w:rsidRPr="00D73491">
        <w:t>To protect the district against malingering and false claim of illness, an employee may be required to provide proof of illness</w:t>
      </w:r>
      <w:r w:rsidR="00E26820" w:rsidRPr="00D73491">
        <w:t>, when deemed appropriate,</w:t>
      </w:r>
      <w:r w:rsidRPr="00D73491">
        <w:t xml:space="preserve"> at the discretion of the superintendent or designee</w:t>
      </w:r>
      <w:r w:rsidRPr="00D73491">
        <w:rPr>
          <w:iCs/>
        </w:rPr>
        <w:t xml:space="preserve">.  The superintendent or designee may require proof of the employee’s ability to return to work following an illness. </w:t>
      </w:r>
    </w:p>
    <w:p w14:paraId="393A5F29" w14:textId="77777777" w:rsidR="00ED6CA4" w:rsidRPr="00D73491" w:rsidRDefault="00ED6CA4" w:rsidP="008A33DD">
      <w:pPr>
        <w:jc w:val="both"/>
        <w:rPr>
          <w:iCs/>
        </w:rPr>
      </w:pPr>
    </w:p>
    <w:p w14:paraId="0F61882E" w14:textId="77777777" w:rsidR="00ED6CA4" w:rsidRPr="00D73491" w:rsidRDefault="00D77884" w:rsidP="008A33DD">
      <w:pPr>
        <w:pStyle w:val="Heading1"/>
        <w:jc w:val="both"/>
      </w:pPr>
      <w:r w:rsidRPr="00D73491">
        <w:t xml:space="preserve">ACCRUAL </w:t>
      </w:r>
      <w:r w:rsidR="00ED6CA4" w:rsidRPr="00D73491">
        <w:t xml:space="preserve">OF </w:t>
      </w:r>
      <w:r w:rsidR="00B34DA5" w:rsidRPr="00D73491">
        <w:t xml:space="preserve">UNUSED </w:t>
      </w:r>
      <w:r w:rsidR="00ED6CA4" w:rsidRPr="00D73491">
        <w:t>SICK LEAVE</w:t>
      </w:r>
    </w:p>
    <w:p w14:paraId="2BB20FD9" w14:textId="77777777" w:rsidR="00ED6CA4" w:rsidRPr="00D73491" w:rsidRDefault="00ED6CA4" w:rsidP="008A33DD">
      <w:pPr>
        <w:pStyle w:val="Header"/>
        <w:tabs>
          <w:tab w:val="clear" w:pos="4320"/>
          <w:tab w:val="clear" w:pos="8640"/>
        </w:tabs>
        <w:jc w:val="both"/>
      </w:pPr>
    </w:p>
    <w:p w14:paraId="6916C814" w14:textId="22048EEC" w:rsidR="000E6875" w:rsidRPr="00D73491" w:rsidRDefault="00ED6CA4" w:rsidP="008A33DD">
      <w:pPr>
        <w:jc w:val="both"/>
      </w:pPr>
      <w:r w:rsidRPr="00D73491">
        <w:t xml:space="preserve">Unused sick leave will </w:t>
      </w:r>
      <w:r w:rsidR="00A2419E" w:rsidRPr="00D73491">
        <w:t>accrue</w:t>
      </w:r>
      <w:r w:rsidRPr="00D73491">
        <w:t xml:space="preserve"> from year to year, or as otherwise provided in the negotiated agreement</w:t>
      </w:r>
      <w:r w:rsidR="00A41189" w:rsidRPr="00D73491">
        <w:t xml:space="preserve"> for certificated employees</w:t>
      </w:r>
      <w:r w:rsidRPr="00D73491">
        <w:t>, as long as an employee remains continually in the service of th</w:t>
      </w:r>
      <w:r w:rsidR="00A41189" w:rsidRPr="00D73491">
        <w:t>e</w:t>
      </w:r>
      <w:r w:rsidRPr="00D73491">
        <w:t xml:space="preserve"> district.</w:t>
      </w:r>
      <w:r w:rsidR="00AD047C" w:rsidRPr="00D73491">
        <w:t xml:space="preserve">  </w:t>
      </w:r>
      <w:r w:rsidR="00E26820" w:rsidRPr="00D73491">
        <w:t xml:space="preserve">In no event will the board compensate an employee for unused sick leave.  </w:t>
      </w:r>
    </w:p>
    <w:p w14:paraId="2A0695B6" w14:textId="77777777" w:rsidR="0097544B" w:rsidRPr="00D73491" w:rsidRDefault="0097544B" w:rsidP="008A33DD">
      <w:pPr>
        <w:jc w:val="both"/>
      </w:pPr>
    </w:p>
    <w:p w14:paraId="756600E3" w14:textId="18780B8B" w:rsidR="00ED6CA4" w:rsidRPr="00D73491" w:rsidRDefault="0007249E" w:rsidP="008A33DD">
      <w:pPr>
        <w:jc w:val="both"/>
      </w:pPr>
      <w:r w:rsidRPr="00D73491">
        <w:t>A</w:t>
      </w:r>
      <w:r w:rsidR="00220EAB" w:rsidRPr="00D73491">
        <w:t>ny</w:t>
      </w:r>
      <w:r w:rsidRPr="00D73491">
        <w:t xml:space="preserve"> </w:t>
      </w:r>
      <w:r w:rsidR="00ED6CA4" w:rsidRPr="00D73491">
        <w:t>new employee</w:t>
      </w:r>
      <w:r w:rsidR="00AD047C" w:rsidRPr="00D73491">
        <w:t xml:space="preserve"> </w:t>
      </w:r>
      <w:r w:rsidRPr="00D73491">
        <w:t>of</w:t>
      </w:r>
      <w:r w:rsidR="00AD047C" w:rsidRPr="00D73491">
        <w:t xml:space="preserve"> this district who </w:t>
      </w:r>
      <w:r w:rsidRPr="00D73491">
        <w:t>was</w:t>
      </w:r>
      <w:r w:rsidR="00ED6CA4" w:rsidRPr="00D73491">
        <w:t xml:space="preserve"> employed by another </w:t>
      </w:r>
      <w:r w:rsidR="00A2419E" w:rsidRPr="00D73491">
        <w:t xml:space="preserve">public education entity </w:t>
      </w:r>
      <w:r w:rsidR="00ED6CA4" w:rsidRPr="00D73491">
        <w:t>or state educational agency during the year immediately preceding</w:t>
      </w:r>
      <w:r w:rsidR="004E1FCC" w:rsidRPr="00D73491">
        <w:t xml:space="preserve">, or within (3) school years immediately preceding </w:t>
      </w:r>
      <w:r w:rsidRPr="00D73491">
        <w:t xml:space="preserve">if </w:t>
      </w:r>
      <w:r w:rsidR="00220EAB" w:rsidRPr="00D73491">
        <w:t>termination</w:t>
      </w:r>
      <w:r w:rsidRPr="00D73491">
        <w:t xml:space="preserve"> was </w:t>
      </w:r>
      <w:r w:rsidR="004E1FCC" w:rsidRPr="00D73491">
        <w:t>due to a reduction in force</w:t>
      </w:r>
      <w:r w:rsidR="00ED6CA4" w:rsidRPr="00D73491">
        <w:t>,</w:t>
      </w:r>
      <w:r w:rsidRPr="00D73491">
        <w:t xml:space="preserve"> will be credited with </w:t>
      </w:r>
      <w:r w:rsidR="00ED6CA4" w:rsidRPr="00D73491">
        <w:t xml:space="preserve">that individual’s </w:t>
      </w:r>
      <w:r w:rsidR="00A2419E" w:rsidRPr="00D73491">
        <w:t xml:space="preserve">accrued </w:t>
      </w:r>
      <w:r w:rsidR="00ED6CA4" w:rsidRPr="00D73491">
        <w:t>sick leave.</w:t>
      </w:r>
      <w:r w:rsidR="00A41189" w:rsidRPr="00D73491">
        <w:t xml:space="preserve">  </w:t>
      </w:r>
      <w:r w:rsidR="00DB78F9" w:rsidRPr="00D73491">
        <w:t>This policy does not prohibit the board from approving retirement severance pay.</w:t>
      </w:r>
      <w:r w:rsidR="00ED6CA4" w:rsidRPr="00D73491">
        <w:t xml:space="preserve"> </w:t>
      </w:r>
      <w:r w:rsidR="00A2419E" w:rsidRPr="00D73491">
        <w:t>Upon retirement of an employee, any accrued unused sick leave shall be reported to the public employee retirement system.</w:t>
      </w:r>
    </w:p>
    <w:p w14:paraId="0247D9F1" w14:textId="1980929F" w:rsidR="00973C5B" w:rsidRPr="00D73491" w:rsidRDefault="00973C5B" w:rsidP="008A33DD">
      <w:pPr>
        <w:jc w:val="both"/>
      </w:pPr>
    </w:p>
    <w:p w14:paraId="7485ADB6" w14:textId="1FF8E765" w:rsidR="00973C5B" w:rsidRPr="00D73491" w:rsidRDefault="00973C5B" w:rsidP="008A33DD">
      <w:pPr>
        <w:jc w:val="both"/>
        <w:rPr>
          <w:b/>
          <w:bCs/>
        </w:rPr>
      </w:pPr>
      <w:r w:rsidRPr="00D73491">
        <w:rPr>
          <w:b/>
          <w:bCs/>
        </w:rPr>
        <w:t>MISUSE OF SICK LEAVE</w:t>
      </w:r>
    </w:p>
    <w:p w14:paraId="2AD1D314" w14:textId="77777777" w:rsidR="001A60C5" w:rsidRPr="00D73491" w:rsidRDefault="001A60C5" w:rsidP="008A33DD">
      <w:pPr>
        <w:jc w:val="both"/>
        <w:rPr>
          <w:b/>
          <w:bCs/>
        </w:rPr>
      </w:pPr>
    </w:p>
    <w:p w14:paraId="653CED4A" w14:textId="505F84B9" w:rsidR="00ED6CA4" w:rsidRPr="00D73491" w:rsidRDefault="00973C5B">
      <w:r w:rsidRPr="00D73491">
        <w:t>Employees are expected to use sick leave for sickness suffered by the employee or his or her immediate family.</w:t>
      </w:r>
      <w:r w:rsidR="001A60C5" w:rsidRPr="00D73491">
        <w:t xml:space="preserve">  Misuse of sick leave is cause for disciplinary action, up to and including termination.</w:t>
      </w:r>
    </w:p>
    <w:p w14:paraId="6D680E37" w14:textId="77777777" w:rsidR="00ED6CA4" w:rsidRDefault="00ED6CA4">
      <w:pPr>
        <w:pStyle w:val="Header"/>
        <w:tabs>
          <w:tab w:val="clear" w:pos="4320"/>
          <w:tab w:val="clear" w:pos="8640"/>
        </w:tabs>
        <w:jc w:val="center"/>
        <w:rPr>
          <w:rFonts w:ascii="Arial" w:hAnsi="Arial" w:cs="Arial"/>
          <w:b/>
          <w:bCs/>
          <w:sz w:val="28"/>
        </w:rPr>
      </w:pPr>
      <w:r>
        <w:rPr>
          <w:rFonts w:ascii="Arial" w:hAnsi="Arial" w:cs="Arial"/>
          <w:b/>
          <w:bCs/>
          <w:sz w:val="28"/>
        </w:rPr>
        <w:t>♦ ♦ ♦ ♦ ♦ ♦ ♦</w:t>
      </w:r>
    </w:p>
    <w:p w14:paraId="4BF6481E" w14:textId="77777777" w:rsidR="00ED6CA4" w:rsidRDefault="00ED6CA4">
      <w:pPr>
        <w:pStyle w:val="Header"/>
        <w:tabs>
          <w:tab w:val="clear" w:pos="4320"/>
          <w:tab w:val="clear" w:pos="8640"/>
        </w:tabs>
        <w:rPr>
          <w:rFonts w:ascii="Arial" w:hAnsi="Arial" w:cs="Arial"/>
        </w:rPr>
      </w:pPr>
    </w:p>
    <w:p w14:paraId="423995B8" w14:textId="77777777" w:rsidR="00ED6CA4" w:rsidRDefault="00ED6CA4">
      <w:pPr>
        <w:pStyle w:val="Header"/>
        <w:tabs>
          <w:tab w:val="clear" w:pos="4320"/>
          <w:tab w:val="clear" w:pos="8640"/>
        </w:tabs>
        <w:rPr>
          <w:rFonts w:ascii="Arial" w:hAnsi="Arial" w:cs="Arial"/>
          <w:b/>
          <w:bCs/>
        </w:rPr>
      </w:pPr>
      <w:r>
        <w:rPr>
          <w:rFonts w:ascii="Arial" w:hAnsi="Arial" w:cs="Arial"/>
          <w:b/>
          <w:bCs/>
        </w:rPr>
        <w:t>LEGAL REFERENCE:</w:t>
      </w:r>
    </w:p>
    <w:p w14:paraId="3631801F" w14:textId="77777777" w:rsidR="00ED6CA4" w:rsidRDefault="00ED6CA4">
      <w:smartTag w:uri="urn:schemas-microsoft-com:office:smarttags" w:element="place">
        <w:smartTag w:uri="urn:schemas-microsoft-com:office:smarttags" w:element="PostalCode">
          <w:r>
            <w:lastRenderedPageBreak/>
            <w:t>Idaho</w:t>
          </w:r>
        </w:smartTag>
      </w:smartTag>
      <w:r>
        <w:t xml:space="preserve"> Code Sections </w:t>
      </w:r>
    </w:p>
    <w:p w14:paraId="240CFBA8" w14:textId="4EDDB56A" w:rsidR="009421C5" w:rsidRDefault="00ED6CA4" w:rsidP="00BA547A">
      <w:pPr>
        <w:ind w:firstLine="720"/>
      </w:pPr>
      <w:r>
        <w:t>33-1216 through 33-1218</w:t>
      </w:r>
      <w:r w:rsidR="00ED2CEC">
        <w:t xml:space="preserve"> – </w:t>
      </w:r>
      <w:r w:rsidR="009421C5">
        <w:t xml:space="preserve">Sick Leave </w:t>
      </w:r>
    </w:p>
    <w:p w14:paraId="2A85763B" w14:textId="21FD906D" w:rsidR="00CA70BE" w:rsidRDefault="00CA70BE" w:rsidP="00BA547A">
      <w:pPr>
        <w:ind w:firstLine="720"/>
      </w:pPr>
      <w:r>
        <w:t>33-1228 – Severance Allowance at Retirement</w:t>
      </w:r>
    </w:p>
    <w:p w14:paraId="211F2011" w14:textId="77777777" w:rsidR="00ED6CA4" w:rsidRDefault="00ED6CA4" w:rsidP="00FD4973">
      <w:r>
        <w:t>Family</w:t>
      </w:r>
      <w:r w:rsidR="00322ADA">
        <w:t xml:space="preserve"> and</w:t>
      </w:r>
      <w:r>
        <w:t xml:space="preserve"> Medical Leave Act </w:t>
      </w:r>
      <w:r w:rsidR="00F32FCA">
        <w:t>(FMLA)</w:t>
      </w:r>
    </w:p>
    <w:p w14:paraId="421E0351" w14:textId="77777777" w:rsidR="00ED6CA4" w:rsidRDefault="00ED6CA4">
      <w:pPr>
        <w:ind w:firstLine="720"/>
      </w:pPr>
      <w:r>
        <w:t>29 USC Section 2654</w:t>
      </w:r>
    </w:p>
    <w:p w14:paraId="14721DC9" w14:textId="77777777" w:rsidR="00ED6CA4" w:rsidRDefault="00ED6CA4">
      <w:pPr>
        <w:ind w:firstLine="720"/>
      </w:pPr>
      <w:r>
        <w:t>58 CFR 31812 through 31839</w:t>
      </w:r>
    </w:p>
    <w:p w14:paraId="78ED55F3" w14:textId="77777777" w:rsidR="00ED6CA4" w:rsidRDefault="00ED6CA4">
      <w:pPr>
        <w:pStyle w:val="Header"/>
        <w:tabs>
          <w:tab w:val="clear" w:pos="4320"/>
          <w:tab w:val="clear" w:pos="8640"/>
        </w:tabs>
      </w:pPr>
      <w:r>
        <w:rPr>
          <w:i/>
          <w:iCs/>
          <w:lang w:val="fr-FR"/>
        </w:rPr>
        <w:t xml:space="preserve">Porter, et al. v. Bd. </w:t>
      </w:r>
      <w:r>
        <w:rPr>
          <w:i/>
          <w:iCs/>
        </w:rPr>
        <w:t xml:space="preserve">of Trustees, Preston School District No. 201, </w:t>
      </w:r>
      <w:r>
        <w:t xml:space="preserve">105 P.3d 671 (Idaho 2004). </w:t>
      </w:r>
    </w:p>
    <w:p w14:paraId="44073261" w14:textId="77777777" w:rsidR="00ED6CA4" w:rsidRDefault="00ED6CA4">
      <w:pPr>
        <w:pStyle w:val="Header"/>
        <w:tabs>
          <w:tab w:val="clear" w:pos="4320"/>
          <w:tab w:val="clear" w:pos="8640"/>
        </w:tabs>
      </w:pPr>
    </w:p>
    <w:p w14:paraId="1527972C" w14:textId="442D0E93" w:rsidR="00FB58E9" w:rsidRDefault="00FB58E9">
      <w:pPr>
        <w:pStyle w:val="Header"/>
        <w:tabs>
          <w:tab w:val="clear" w:pos="4320"/>
          <w:tab w:val="clear" w:pos="8640"/>
        </w:tabs>
        <w:rPr>
          <w:rFonts w:ascii="Arial" w:hAnsi="Arial" w:cs="Arial"/>
          <w:b/>
          <w:bCs/>
        </w:rPr>
      </w:pPr>
      <w:r>
        <w:rPr>
          <w:rFonts w:ascii="Arial" w:hAnsi="Arial" w:cs="Arial"/>
          <w:b/>
          <w:bCs/>
        </w:rPr>
        <w:t>CROSS-REFERENCE:</w:t>
      </w:r>
    </w:p>
    <w:p w14:paraId="53817917" w14:textId="3B49DF3B" w:rsidR="00FB58E9" w:rsidRDefault="00FB58E9">
      <w:pPr>
        <w:pStyle w:val="Header"/>
        <w:tabs>
          <w:tab w:val="clear" w:pos="4320"/>
          <w:tab w:val="clear" w:pos="8640"/>
        </w:tabs>
      </w:pPr>
      <w:r>
        <w:t>410 – Leaves of Absence</w:t>
      </w:r>
    </w:p>
    <w:p w14:paraId="0F94E44A" w14:textId="1618E121" w:rsidR="00FB58E9" w:rsidRDefault="00FB58E9">
      <w:pPr>
        <w:pStyle w:val="Header"/>
        <w:tabs>
          <w:tab w:val="clear" w:pos="4320"/>
          <w:tab w:val="clear" w:pos="8640"/>
        </w:tabs>
      </w:pPr>
      <w:r>
        <w:t>410.50 – Misuse of Leave</w:t>
      </w:r>
    </w:p>
    <w:p w14:paraId="6BEA272B" w14:textId="2B4BCD8A" w:rsidR="00FB58E9" w:rsidRPr="00FB58E9" w:rsidRDefault="00FB58E9">
      <w:pPr>
        <w:pStyle w:val="Header"/>
        <w:tabs>
          <w:tab w:val="clear" w:pos="4320"/>
          <w:tab w:val="clear" w:pos="8640"/>
        </w:tabs>
      </w:pPr>
    </w:p>
    <w:p w14:paraId="220D9681" w14:textId="10E219AE" w:rsidR="00ED6CA4" w:rsidRDefault="00ED6CA4">
      <w:pPr>
        <w:pStyle w:val="Header"/>
        <w:tabs>
          <w:tab w:val="clear" w:pos="4320"/>
          <w:tab w:val="clear" w:pos="8640"/>
        </w:tabs>
        <w:rPr>
          <w:rFonts w:ascii="Arial" w:hAnsi="Arial" w:cs="Arial"/>
        </w:rPr>
      </w:pPr>
      <w:r>
        <w:rPr>
          <w:rFonts w:ascii="Arial" w:hAnsi="Arial" w:cs="Arial"/>
          <w:b/>
          <w:bCs/>
        </w:rPr>
        <w:t>ADOPTED:</w:t>
      </w:r>
      <w:r>
        <w:rPr>
          <w:rFonts w:ascii="Arial" w:hAnsi="Arial" w:cs="Arial"/>
          <w:b/>
          <w:bCs/>
        </w:rPr>
        <w:tab/>
      </w:r>
      <w:r w:rsidR="00D73491">
        <w:rPr>
          <w:rFonts w:ascii="Arial" w:hAnsi="Arial" w:cs="Arial"/>
          <w:b/>
          <w:bCs/>
        </w:rPr>
        <w:t>March 10, 2008</w:t>
      </w:r>
    </w:p>
    <w:p w14:paraId="7E539C37" w14:textId="77777777" w:rsidR="00ED6CA4" w:rsidRDefault="00ED6CA4">
      <w:pPr>
        <w:pStyle w:val="Header"/>
        <w:tabs>
          <w:tab w:val="clear" w:pos="4320"/>
          <w:tab w:val="clear" w:pos="8640"/>
        </w:tabs>
        <w:rPr>
          <w:rFonts w:ascii="Arial" w:hAnsi="Arial" w:cs="Arial"/>
        </w:rPr>
      </w:pPr>
    </w:p>
    <w:p w14:paraId="689CE383" w14:textId="5E664D7E" w:rsidR="00ED6CA4" w:rsidRDefault="00ED6CA4">
      <w:pPr>
        <w:pStyle w:val="Header"/>
        <w:tabs>
          <w:tab w:val="clear" w:pos="4320"/>
          <w:tab w:val="clear" w:pos="8640"/>
        </w:tabs>
        <w:rPr>
          <w:rFonts w:ascii="Arial" w:hAnsi="Arial" w:cs="Arial"/>
          <w:b/>
          <w:bCs/>
        </w:rPr>
      </w:pPr>
      <w:r>
        <w:rPr>
          <w:rFonts w:ascii="Arial" w:hAnsi="Arial" w:cs="Arial"/>
          <w:b/>
          <w:bCs/>
        </w:rPr>
        <w:t>AMENDED:</w:t>
      </w:r>
      <w:r>
        <w:rPr>
          <w:rFonts w:ascii="Arial" w:hAnsi="Arial" w:cs="Arial"/>
          <w:b/>
          <w:bCs/>
        </w:rPr>
        <w:tab/>
      </w:r>
      <w:r w:rsidR="00D73491">
        <w:rPr>
          <w:rFonts w:ascii="Arial" w:hAnsi="Arial" w:cs="Arial"/>
          <w:b/>
          <w:bCs/>
        </w:rPr>
        <w:t>March 9, 2015; April 10, 2017; April 10, 2023; February 10, 2025;</w:t>
      </w:r>
    </w:p>
    <w:p w14:paraId="67F47840" w14:textId="77777777" w:rsidR="00ED6CA4" w:rsidRDefault="00ED6CA4">
      <w:pPr>
        <w:pStyle w:val="Header"/>
        <w:tabs>
          <w:tab w:val="clear" w:pos="4320"/>
          <w:tab w:val="clear" w:pos="8640"/>
        </w:tabs>
        <w:rPr>
          <w:i/>
          <w:iCs/>
        </w:rPr>
      </w:pPr>
    </w:p>
    <w:sectPr w:rsidR="00ED6CA4">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0F3C" w14:textId="77777777" w:rsidR="0094247B" w:rsidRDefault="0094247B">
      <w:r>
        <w:separator/>
      </w:r>
    </w:p>
  </w:endnote>
  <w:endnote w:type="continuationSeparator" w:id="0">
    <w:p w14:paraId="1C0FE7DF" w14:textId="77777777" w:rsidR="0094247B" w:rsidRDefault="0094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CEC3" w14:textId="77777777" w:rsidR="000E0872" w:rsidRDefault="000E0872">
    <w:pPr>
      <w:pStyle w:val="Footer"/>
      <w:pBdr>
        <w:bottom w:val="single" w:sz="12" w:space="1" w:color="auto"/>
      </w:pBdr>
      <w:rPr>
        <w:rFonts w:ascii="Arial" w:hAnsi="Arial" w:cs="Arial"/>
        <w:b/>
        <w:bCs/>
      </w:rPr>
    </w:pPr>
  </w:p>
  <w:p w14:paraId="57DAF4D1" w14:textId="7B739401" w:rsidR="000E0872" w:rsidRDefault="000E0872" w:rsidP="00154350">
    <w:pPr>
      <w:pStyle w:val="Footer"/>
      <w:tabs>
        <w:tab w:val="clear" w:pos="4320"/>
        <w:tab w:val="clear" w:pos="8640"/>
        <w:tab w:val="right" w:pos="9360"/>
      </w:tabs>
      <w:rPr>
        <w:rFonts w:ascii="Arial" w:hAnsi="Arial" w:cs="Arial"/>
        <w:sz w:val="20"/>
      </w:rPr>
    </w:pPr>
    <w:r>
      <w:rPr>
        <w:rFonts w:ascii="Arial" w:hAnsi="Arial" w:cs="Arial"/>
        <w:b/>
        <w:bCs/>
      </w:rPr>
      <w:t>SECTION 400:  PERSONNEL</w:t>
    </w:r>
    <w:r>
      <w:rPr>
        <w:rFonts w:ascii="Arial" w:hAnsi="Arial" w:cs="Arial"/>
        <w:b/>
        <w:bCs/>
      </w:rPr>
      <w:tab/>
    </w:r>
    <w:r>
      <w:rPr>
        <w:rFonts w:ascii="Arial" w:hAnsi="Arial" w:cs="Arial"/>
      </w:rPr>
      <w:t xml:space="preserve">© </w:t>
    </w:r>
    <w:r w:rsidR="002025C8">
      <w:rPr>
        <w:rFonts w:ascii="Arial" w:hAnsi="Arial" w:cs="Arial"/>
      </w:rPr>
      <w:t>202</w:t>
    </w:r>
    <w:r w:rsidR="00303B96">
      <w:rPr>
        <w:rFonts w:ascii="Arial" w:hAnsi="Arial" w:cs="Arial"/>
      </w:rPr>
      <w:t>4</w:t>
    </w:r>
    <w:r w:rsidR="002025C8">
      <w:rPr>
        <w:rFonts w:ascii="Arial" w:hAnsi="Arial" w:cs="Arial"/>
      </w:rPr>
      <w:t xml:space="preserve"> </w:t>
    </w:r>
    <w:proofErr w:type="spellStart"/>
    <w:r w:rsidR="002025C8">
      <w:rPr>
        <w:rFonts w:ascii="Arial" w:hAnsi="Arial" w:cs="Arial"/>
      </w:rPr>
      <w:t>Holinka</w:t>
    </w:r>
    <w:proofErr w:type="spellEnd"/>
    <w:r w:rsidR="002025C8">
      <w:rPr>
        <w:rFonts w:ascii="Arial" w:hAnsi="Arial" w:cs="Arial"/>
      </w:rPr>
      <w:t xml:space="preserve"> Law, P.C</w:t>
    </w:r>
    <w:r w:rsidR="007C5315">
      <w:rPr>
        <w:rFonts w:ascii="Arial" w:hAnsi="Arial" w:cs="Arial"/>
      </w:rPr>
      <w:t>.</w:t>
    </w:r>
    <w:r w:rsidR="007C5315" w:rsidDel="007C5315">
      <w:rPr>
        <w:rFonts w:ascii="Arial" w:hAnsi="Arial" w:cs="Arial"/>
      </w:rPr>
      <w:t xml:space="preserve"> </w:t>
    </w:r>
  </w:p>
  <w:p w14:paraId="05EED7F0" w14:textId="52B79B14" w:rsidR="000E0872" w:rsidRDefault="000E0872" w:rsidP="00154350">
    <w:pPr>
      <w:pStyle w:val="Footer"/>
      <w:tabs>
        <w:tab w:val="clear" w:pos="4320"/>
        <w:tab w:val="clear" w:pos="8640"/>
        <w:tab w:val="right" w:pos="9360"/>
      </w:tabs>
      <w:jc w:val="right"/>
      <w:rPr>
        <w:rFonts w:ascii="Arial" w:hAnsi="Arial" w:cs="Arial"/>
        <w:sz w:val="20"/>
      </w:rPr>
    </w:pPr>
    <w:r>
      <w:rPr>
        <w:rFonts w:ascii="Arial" w:hAnsi="Arial" w:cs="Arial"/>
        <w:sz w:val="16"/>
      </w:rPr>
      <w:t>D9/9/05-M2/21/06</w:t>
    </w:r>
    <w:r w:rsidR="00D016B3">
      <w:rPr>
        <w:rFonts w:ascii="Arial" w:hAnsi="Arial" w:cs="Arial"/>
        <w:sz w:val="16"/>
      </w:rPr>
      <w:t>-M</w:t>
    </w:r>
    <w:r w:rsidR="00725108">
      <w:rPr>
        <w:rFonts w:ascii="Arial" w:hAnsi="Arial" w:cs="Arial"/>
        <w:sz w:val="16"/>
      </w:rPr>
      <w:t>11</w:t>
    </w:r>
    <w:r w:rsidR="00AD6CA2">
      <w:rPr>
        <w:rFonts w:ascii="Arial" w:hAnsi="Arial" w:cs="Arial"/>
        <w:sz w:val="16"/>
      </w:rPr>
      <w:t>/0</w:t>
    </w:r>
    <w:r w:rsidR="00371BA6">
      <w:rPr>
        <w:rFonts w:ascii="Arial" w:hAnsi="Arial" w:cs="Arial"/>
        <w:sz w:val="16"/>
      </w:rPr>
      <w:t>7</w:t>
    </w:r>
    <w:r w:rsidR="00AD6CA2">
      <w:rPr>
        <w:rFonts w:ascii="Arial" w:hAnsi="Arial" w:cs="Arial"/>
        <w:sz w:val="16"/>
      </w:rPr>
      <w:t>/1</w:t>
    </w:r>
    <w:r w:rsidR="007C5315">
      <w:rPr>
        <w:rFonts w:ascii="Arial" w:hAnsi="Arial" w:cs="Arial"/>
        <w:sz w:val="16"/>
      </w:rPr>
      <w:t>6</w:t>
    </w:r>
    <w:r w:rsidR="001A60C5">
      <w:rPr>
        <w:rFonts w:ascii="Arial" w:hAnsi="Arial" w:cs="Arial"/>
        <w:sz w:val="16"/>
      </w:rPr>
      <w:t>-M02/10/23</w:t>
    </w:r>
    <w:r w:rsidR="00303B96">
      <w:rPr>
        <w:rFonts w:ascii="Arial" w:hAnsi="Arial" w:cs="Arial"/>
        <w:sz w:val="16"/>
      </w:rPr>
      <w:t>-M11/15/24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7BD6" w14:textId="77777777" w:rsidR="000E0872" w:rsidRDefault="000E0872">
    <w:pPr>
      <w:pStyle w:val="Footer"/>
      <w:pBdr>
        <w:bottom w:val="single" w:sz="12" w:space="1" w:color="auto"/>
      </w:pBdr>
      <w:rPr>
        <w:rFonts w:ascii="Arial" w:hAnsi="Arial" w:cs="Arial"/>
        <w:b/>
        <w:bCs/>
      </w:rPr>
    </w:pPr>
  </w:p>
  <w:p w14:paraId="1139A3E0" w14:textId="1C01F2A9" w:rsidR="007C5315" w:rsidRDefault="007C5315" w:rsidP="007C5315">
    <w:pPr>
      <w:pStyle w:val="Footer"/>
      <w:tabs>
        <w:tab w:val="clear" w:pos="4320"/>
        <w:tab w:val="clear" w:pos="8640"/>
        <w:tab w:val="right" w:pos="9360"/>
      </w:tabs>
      <w:rPr>
        <w:rFonts w:ascii="Arial" w:hAnsi="Arial" w:cs="Arial"/>
        <w:sz w:val="20"/>
      </w:rPr>
    </w:pPr>
    <w:r>
      <w:rPr>
        <w:rFonts w:ascii="Arial" w:hAnsi="Arial" w:cs="Arial"/>
        <w:b/>
        <w:bCs/>
      </w:rPr>
      <w:t>SECTION 400:  PERSONNEL</w:t>
    </w:r>
    <w:r>
      <w:rPr>
        <w:rFonts w:ascii="Arial" w:hAnsi="Arial" w:cs="Arial"/>
        <w:b/>
        <w:bCs/>
      </w:rPr>
      <w:tab/>
    </w:r>
    <w:r>
      <w:rPr>
        <w:rFonts w:ascii="Arial" w:hAnsi="Arial" w:cs="Arial"/>
      </w:rPr>
      <w:t xml:space="preserve">© </w:t>
    </w:r>
    <w:r w:rsidR="002025C8">
      <w:rPr>
        <w:rFonts w:ascii="Arial" w:hAnsi="Arial" w:cs="Arial"/>
      </w:rPr>
      <w:t>202</w:t>
    </w:r>
    <w:r w:rsidR="00303B96">
      <w:rPr>
        <w:rFonts w:ascii="Arial" w:hAnsi="Arial" w:cs="Arial"/>
      </w:rPr>
      <w:t>4</w:t>
    </w:r>
    <w:r w:rsidR="002025C8">
      <w:rPr>
        <w:rFonts w:ascii="Arial" w:hAnsi="Arial" w:cs="Arial"/>
      </w:rPr>
      <w:t xml:space="preserve"> </w:t>
    </w:r>
    <w:proofErr w:type="spellStart"/>
    <w:r w:rsidR="002025C8">
      <w:rPr>
        <w:rFonts w:ascii="Arial" w:hAnsi="Arial" w:cs="Arial"/>
      </w:rPr>
      <w:t>Holinka</w:t>
    </w:r>
    <w:proofErr w:type="spellEnd"/>
    <w:r w:rsidR="002025C8">
      <w:rPr>
        <w:rFonts w:ascii="Arial" w:hAnsi="Arial" w:cs="Arial"/>
      </w:rPr>
      <w:t xml:space="preserve"> Law, P.C</w:t>
    </w:r>
    <w:r>
      <w:rPr>
        <w:rFonts w:ascii="Arial" w:hAnsi="Arial" w:cs="Arial"/>
      </w:rPr>
      <w:t>.</w:t>
    </w:r>
    <w:r w:rsidDel="007C5315">
      <w:rPr>
        <w:rFonts w:ascii="Arial" w:hAnsi="Arial" w:cs="Arial"/>
      </w:rPr>
      <w:t xml:space="preserve"> </w:t>
    </w:r>
  </w:p>
  <w:p w14:paraId="6B5087C3" w14:textId="3B3AC072" w:rsidR="007C5315" w:rsidRDefault="007C5315" w:rsidP="007C5315">
    <w:pPr>
      <w:pStyle w:val="Footer"/>
      <w:tabs>
        <w:tab w:val="clear" w:pos="4320"/>
        <w:tab w:val="clear" w:pos="8640"/>
        <w:tab w:val="right" w:pos="9360"/>
      </w:tabs>
      <w:jc w:val="right"/>
      <w:rPr>
        <w:rFonts w:ascii="Arial" w:hAnsi="Arial" w:cs="Arial"/>
        <w:sz w:val="20"/>
      </w:rPr>
    </w:pPr>
    <w:r>
      <w:rPr>
        <w:rFonts w:ascii="Arial" w:hAnsi="Arial" w:cs="Arial"/>
        <w:sz w:val="16"/>
      </w:rPr>
      <w:t>D9/9/05-M2/21/06-M11/0</w:t>
    </w:r>
    <w:r w:rsidR="00371BA6">
      <w:rPr>
        <w:rFonts w:ascii="Arial" w:hAnsi="Arial" w:cs="Arial"/>
        <w:sz w:val="16"/>
      </w:rPr>
      <w:t>7</w:t>
    </w:r>
    <w:r>
      <w:rPr>
        <w:rFonts w:ascii="Arial" w:hAnsi="Arial" w:cs="Arial"/>
        <w:sz w:val="16"/>
      </w:rPr>
      <w:t>/16</w:t>
    </w:r>
    <w:r w:rsidR="001A60C5">
      <w:rPr>
        <w:rFonts w:ascii="Arial" w:hAnsi="Arial" w:cs="Arial"/>
        <w:sz w:val="16"/>
      </w:rPr>
      <w:t>-M02/10/23</w:t>
    </w:r>
    <w:r w:rsidR="00303B96">
      <w:rPr>
        <w:rFonts w:ascii="Arial" w:hAnsi="Arial" w:cs="Arial"/>
        <w:sz w:val="16"/>
      </w:rPr>
      <w:t>-M11/15/24</w:t>
    </w:r>
  </w:p>
  <w:p w14:paraId="0B75374F" w14:textId="77777777" w:rsidR="000E0872" w:rsidRDefault="000E0872" w:rsidP="007C5315">
    <w:pPr>
      <w:pStyle w:val="Footer"/>
      <w:tabs>
        <w:tab w:val="clear" w:pos="4320"/>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F7193" w14:textId="77777777" w:rsidR="0094247B" w:rsidRDefault="0094247B">
      <w:r>
        <w:separator/>
      </w:r>
    </w:p>
  </w:footnote>
  <w:footnote w:type="continuationSeparator" w:id="0">
    <w:p w14:paraId="248A3D22" w14:textId="77777777" w:rsidR="0094247B" w:rsidRDefault="0094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5297" w14:textId="57F5A19D" w:rsidR="000E0872" w:rsidRDefault="000E0872">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Sick Leave—</w:t>
    </w:r>
    <w:r>
      <w:rPr>
        <w:rFonts w:ascii="Arial" w:hAnsi="Arial" w:cs="Arial"/>
        <w:i/>
        <w:iCs/>
      </w:rPr>
      <w:t>continued</w:t>
    </w:r>
    <w:r>
      <w:rPr>
        <w:rFonts w:ascii="Arial" w:hAnsi="Arial" w:cs="Arial"/>
        <w:i/>
        <w:iCs/>
      </w:rPr>
      <w:tab/>
    </w: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2025C8">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p w14:paraId="6744315C" w14:textId="77777777" w:rsidR="000E0872" w:rsidRDefault="000E0872">
    <w:pPr>
      <w:pStyle w:val="Header"/>
      <w:tabs>
        <w:tab w:val="clear" w:pos="4320"/>
        <w:tab w:val="clear" w:pos="8640"/>
        <w:tab w:val="right" w:pos="9360"/>
      </w:tabs>
      <w:rPr>
        <w:rStyle w:val="PageNumber"/>
        <w:rFonts w:ascii="Arial" w:hAnsi="Arial" w:cs="Arial"/>
      </w:rPr>
    </w:pPr>
  </w:p>
  <w:p w14:paraId="3E2693B4" w14:textId="77777777" w:rsidR="000E0872" w:rsidRDefault="000E0872">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7"/>
      <w:gridCol w:w="4710"/>
      <w:gridCol w:w="2505"/>
    </w:tblGrid>
    <w:tr w:rsidR="000E0872" w14:paraId="240A73F9" w14:textId="77777777">
      <w:trPr>
        <w:cantSplit/>
      </w:trPr>
      <w:tc>
        <w:tcPr>
          <w:tcW w:w="1980" w:type="dxa"/>
        </w:tcPr>
        <w:p w14:paraId="18F077D9" w14:textId="77777777" w:rsidR="000E0872" w:rsidRDefault="000E0872">
          <w:pPr>
            <w:pStyle w:val="Header"/>
            <w:rPr>
              <w:rFonts w:ascii="Arial" w:hAnsi="Arial" w:cs="Arial"/>
              <w:b/>
              <w:bCs/>
              <w:sz w:val="16"/>
            </w:rPr>
          </w:pPr>
        </w:p>
        <w:p w14:paraId="5C329087" w14:textId="77777777" w:rsidR="000E0872" w:rsidRDefault="000E0872">
          <w:pPr>
            <w:pStyle w:val="Header"/>
            <w:rPr>
              <w:rFonts w:ascii="Arial" w:hAnsi="Arial" w:cs="Arial"/>
              <w:b/>
              <w:bCs/>
            </w:rPr>
          </w:pPr>
          <w:r>
            <w:rPr>
              <w:rFonts w:ascii="Arial" w:hAnsi="Arial" w:cs="Arial"/>
              <w:b/>
              <w:bCs/>
            </w:rPr>
            <w:t>POLICY TITLE:</w:t>
          </w:r>
        </w:p>
      </w:tc>
      <w:tc>
        <w:tcPr>
          <w:tcW w:w="4860" w:type="dxa"/>
        </w:tcPr>
        <w:p w14:paraId="1ADF7CF0" w14:textId="77777777" w:rsidR="000E0872" w:rsidRDefault="000E0872">
          <w:pPr>
            <w:pStyle w:val="Header"/>
            <w:rPr>
              <w:rFonts w:ascii="Arial" w:hAnsi="Arial" w:cs="Arial"/>
              <w:b/>
              <w:bCs/>
              <w:sz w:val="16"/>
            </w:rPr>
          </w:pPr>
        </w:p>
        <w:p w14:paraId="0AC8BA43" w14:textId="1507DEC2" w:rsidR="000E0872" w:rsidRDefault="000E0872">
          <w:pPr>
            <w:pStyle w:val="Header"/>
            <w:rPr>
              <w:rFonts w:ascii="Arial" w:hAnsi="Arial" w:cs="Arial"/>
              <w:b/>
              <w:bCs/>
            </w:rPr>
          </w:pPr>
          <w:r>
            <w:rPr>
              <w:rFonts w:ascii="Arial" w:hAnsi="Arial" w:cs="Arial"/>
              <w:b/>
              <w:bCs/>
            </w:rPr>
            <w:t>Sick Leave</w:t>
          </w:r>
        </w:p>
      </w:tc>
      <w:tc>
        <w:tcPr>
          <w:tcW w:w="2560" w:type="dxa"/>
        </w:tcPr>
        <w:p w14:paraId="519E6339" w14:textId="77777777" w:rsidR="000E0872" w:rsidRDefault="000E0872">
          <w:pPr>
            <w:pStyle w:val="Header"/>
            <w:rPr>
              <w:rFonts w:ascii="Arial" w:hAnsi="Arial" w:cs="Arial"/>
              <w:b/>
              <w:bCs/>
              <w:sz w:val="16"/>
            </w:rPr>
          </w:pPr>
        </w:p>
        <w:p w14:paraId="4451551A" w14:textId="77777777" w:rsidR="000E0872" w:rsidRDefault="000E0872">
          <w:pPr>
            <w:pStyle w:val="Header"/>
            <w:jc w:val="right"/>
            <w:rPr>
              <w:rFonts w:ascii="Arial" w:hAnsi="Arial" w:cs="Arial"/>
              <w:b/>
              <w:bCs/>
            </w:rPr>
          </w:pPr>
          <w:r>
            <w:rPr>
              <w:rFonts w:ascii="Arial" w:hAnsi="Arial" w:cs="Arial"/>
              <w:b/>
              <w:bCs/>
            </w:rPr>
            <w:t>POLICY NO:  407.50</w:t>
          </w:r>
        </w:p>
        <w:p w14:paraId="7F3AA6A6" w14:textId="77777777" w:rsidR="000E0872" w:rsidRDefault="000E0872">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2025C8">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3</w:t>
          </w:r>
        </w:p>
        <w:p w14:paraId="08183734" w14:textId="77777777" w:rsidR="000E0872" w:rsidRDefault="000E0872">
          <w:pPr>
            <w:pStyle w:val="Header"/>
            <w:jc w:val="right"/>
            <w:rPr>
              <w:rFonts w:ascii="Arial" w:hAnsi="Arial" w:cs="Arial"/>
              <w:b/>
              <w:bCs/>
            </w:rPr>
          </w:pPr>
        </w:p>
      </w:tc>
    </w:tr>
  </w:tbl>
  <w:p w14:paraId="400FE622" w14:textId="77777777" w:rsidR="000E0872" w:rsidRDefault="000E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C6730"/>
    <w:multiLevelType w:val="hybridMultilevel"/>
    <w:tmpl w:val="395E1EFE"/>
    <w:lvl w:ilvl="0" w:tplc="C4B615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5F"/>
    <w:rsid w:val="00041E8A"/>
    <w:rsid w:val="0007249E"/>
    <w:rsid w:val="000835B7"/>
    <w:rsid w:val="000E0872"/>
    <w:rsid w:val="000E6875"/>
    <w:rsid w:val="00123219"/>
    <w:rsid w:val="00134FE0"/>
    <w:rsid w:val="00154350"/>
    <w:rsid w:val="0017568F"/>
    <w:rsid w:val="00183E6B"/>
    <w:rsid w:val="001A60C5"/>
    <w:rsid w:val="001C415B"/>
    <w:rsid w:val="001F61B4"/>
    <w:rsid w:val="002025C8"/>
    <w:rsid w:val="0022010B"/>
    <w:rsid w:val="00220EAB"/>
    <w:rsid w:val="0029253C"/>
    <w:rsid w:val="0029418E"/>
    <w:rsid w:val="002C6D37"/>
    <w:rsid w:val="002D5CEF"/>
    <w:rsid w:val="00303B96"/>
    <w:rsid w:val="00322ADA"/>
    <w:rsid w:val="003372DB"/>
    <w:rsid w:val="003641A8"/>
    <w:rsid w:val="00371BA6"/>
    <w:rsid w:val="00377263"/>
    <w:rsid w:val="00395506"/>
    <w:rsid w:val="003A0E78"/>
    <w:rsid w:val="003A2628"/>
    <w:rsid w:val="003E16B4"/>
    <w:rsid w:val="00400CDF"/>
    <w:rsid w:val="00455956"/>
    <w:rsid w:val="00487956"/>
    <w:rsid w:val="004930B7"/>
    <w:rsid w:val="004935AF"/>
    <w:rsid w:val="004B7336"/>
    <w:rsid w:val="004E1FCC"/>
    <w:rsid w:val="00501C5F"/>
    <w:rsid w:val="00566702"/>
    <w:rsid w:val="0059235B"/>
    <w:rsid w:val="00595322"/>
    <w:rsid w:val="005C660F"/>
    <w:rsid w:val="00613872"/>
    <w:rsid w:val="00694709"/>
    <w:rsid w:val="006C5C93"/>
    <w:rsid w:val="006E219F"/>
    <w:rsid w:val="006F4EB1"/>
    <w:rsid w:val="00725108"/>
    <w:rsid w:val="00730821"/>
    <w:rsid w:val="00733852"/>
    <w:rsid w:val="0073464A"/>
    <w:rsid w:val="007B17B0"/>
    <w:rsid w:val="007C5315"/>
    <w:rsid w:val="007E0A75"/>
    <w:rsid w:val="008222BF"/>
    <w:rsid w:val="008A33DD"/>
    <w:rsid w:val="00921FD5"/>
    <w:rsid w:val="00923AD3"/>
    <w:rsid w:val="00927A13"/>
    <w:rsid w:val="009421C5"/>
    <w:rsid w:val="0094247B"/>
    <w:rsid w:val="00944F38"/>
    <w:rsid w:val="009559EC"/>
    <w:rsid w:val="00973C5B"/>
    <w:rsid w:val="0097544B"/>
    <w:rsid w:val="009A10E7"/>
    <w:rsid w:val="00A019DB"/>
    <w:rsid w:val="00A2419E"/>
    <w:rsid w:val="00A3159C"/>
    <w:rsid w:val="00A41189"/>
    <w:rsid w:val="00A65C2D"/>
    <w:rsid w:val="00A66DD7"/>
    <w:rsid w:val="00AD047C"/>
    <w:rsid w:val="00AD47F5"/>
    <w:rsid w:val="00AD6CA2"/>
    <w:rsid w:val="00B15420"/>
    <w:rsid w:val="00B34DA5"/>
    <w:rsid w:val="00B551ED"/>
    <w:rsid w:val="00B87DB1"/>
    <w:rsid w:val="00B93A07"/>
    <w:rsid w:val="00BA547A"/>
    <w:rsid w:val="00BB298C"/>
    <w:rsid w:val="00BD742C"/>
    <w:rsid w:val="00CA70BE"/>
    <w:rsid w:val="00D00764"/>
    <w:rsid w:val="00D016B3"/>
    <w:rsid w:val="00D12A65"/>
    <w:rsid w:val="00D3244B"/>
    <w:rsid w:val="00D460B1"/>
    <w:rsid w:val="00D46B3A"/>
    <w:rsid w:val="00D73491"/>
    <w:rsid w:val="00D754AE"/>
    <w:rsid w:val="00D77884"/>
    <w:rsid w:val="00D904C1"/>
    <w:rsid w:val="00DB78F9"/>
    <w:rsid w:val="00DF12B5"/>
    <w:rsid w:val="00E26820"/>
    <w:rsid w:val="00E45ED3"/>
    <w:rsid w:val="00ED2CEC"/>
    <w:rsid w:val="00ED6CA4"/>
    <w:rsid w:val="00F26F39"/>
    <w:rsid w:val="00F32FCA"/>
    <w:rsid w:val="00F71CA4"/>
    <w:rsid w:val="00F7429C"/>
    <w:rsid w:val="00F87B2D"/>
    <w:rsid w:val="00FA096F"/>
    <w:rsid w:val="00FA1565"/>
    <w:rsid w:val="00FB58E9"/>
    <w:rsid w:val="00FD0021"/>
    <w:rsid w:val="00FD4973"/>
    <w:rsid w:val="00FE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4097"/>
    <o:shapelayout v:ext="edit">
      <o:idmap v:ext="edit" data="1"/>
    </o:shapelayout>
  </w:shapeDefaults>
  <w:decimalSymbol w:val="."/>
  <w:listSeparator w:val=","/>
  <w14:docId w14:val="54CE9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1F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22BF"/>
    <w:rPr>
      <w:sz w:val="16"/>
      <w:szCs w:val="16"/>
    </w:rPr>
  </w:style>
  <w:style w:type="paragraph" w:styleId="CommentText">
    <w:name w:val="annotation text"/>
    <w:basedOn w:val="Normal"/>
    <w:link w:val="CommentTextChar"/>
    <w:rsid w:val="008222BF"/>
    <w:rPr>
      <w:sz w:val="20"/>
      <w:szCs w:val="20"/>
    </w:rPr>
  </w:style>
  <w:style w:type="character" w:customStyle="1" w:styleId="CommentTextChar">
    <w:name w:val="Comment Text Char"/>
    <w:basedOn w:val="DefaultParagraphFont"/>
    <w:link w:val="CommentText"/>
    <w:rsid w:val="008222BF"/>
  </w:style>
  <w:style w:type="paragraph" w:styleId="CommentSubject">
    <w:name w:val="annotation subject"/>
    <w:basedOn w:val="CommentText"/>
    <w:next w:val="CommentText"/>
    <w:link w:val="CommentSubjectChar"/>
    <w:rsid w:val="008222BF"/>
    <w:rPr>
      <w:b/>
      <w:bCs/>
    </w:rPr>
  </w:style>
  <w:style w:type="character" w:customStyle="1" w:styleId="CommentSubjectChar">
    <w:name w:val="Comment Subject Char"/>
    <w:link w:val="CommentSubject"/>
    <w:rsid w:val="008222BF"/>
    <w:rPr>
      <w:b/>
      <w:bCs/>
    </w:rPr>
  </w:style>
  <w:style w:type="paragraph" w:styleId="BalloonText">
    <w:name w:val="Balloon Text"/>
    <w:basedOn w:val="Normal"/>
    <w:link w:val="BalloonTextChar"/>
    <w:rsid w:val="008222BF"/>
    <w:rPr>
      <w:rFonts w:ascii="Tahoma" w:hAnsi="Tahoma" w:cs="Tahoma"/>
      <w:sz w:val="16"/>
      <w:szCs w:val="16"/>
    </w:rPr>
  </w:style>
  <w:style w:type="character" w:customStyle="1" w:styleId="BalloonTextChar">
    <w:name w:val="Balloon Text Char"/>
    <w:link w:val="BalloonText"/>
    <w:rsid w:val="00822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7501-F53D-426A-9BBC-88B33D1E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2026-01-20T17:00:00Z</dcterms:created>
  <dcterms:modified xsi:type="dcterms:W3CDTF">2026-01-20T17:00:00Z</dcterms:modified>
</cp:coreProperties>
</file>