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1B8E" w14:textId="6E3BACEF" w:rsidR="006B249B" w:rsidRPr="009E36C4" w:rsidRDefault="00C4129C" w:rsidP="00C4129C">
      <w:pPr>
        <w:spacing w:after="0" w:line="240" w:lineRule="auto"/>
        <w:jc w:val="center"/>
        <w:rPr>
          <w:rStyle w:val="Strong"/>
        </w:rPr>
      </w:pPr>
      <w:r w:rsidRPr="009E36C4">
        <w:rPr>
          <w:rStyle w:val="Strong"/>
        </w:rPr>
        <w:t>Meyerland Performing and Visual Arts MS</w:t>
      </w:r>
    </w:p>
    <w:p w14:paraId="42BDBBE4" w14:textId="6BBFD703" w:rsidR="00C4129C" w:rsidRPr="009E36C4" w:rsidRDefault="00C4129C" w:rsidP="00C4129C">
      <w:pPr>
        <w:spacing w:after="0" w:line="240" w:lineRule="auto"/>
        <w:jc w:val="center"/>
        <w:rPr>
          <w:rStyle w:val="Strong"/>
        </w:rPr>
      </w:pPr>
      <w:r w:rsidRPr="009E36C4">
        <w:rPr>
          <w:rStyle w:val="Strong"/>
        </w:rPr>
        <w:t>SDMC Meeting Q1</w:t>
      </w:r>
    </w:p>
    <w:p w14:paraId="0F7C469F" w14:textId="1496ED1F" w:rsidR="00C4129C" w:rsidRPr="009E36C4" w:rsidRDefault="00C4129C" w:rsidP="00C4129C">
      <w:pPr>
        <w:spacing w:after="0" w:line="240" w:lineRule="auto"/>
        <w:jc w:val="center"/>
        <w:rPr>
          <w:rStyle w:val="Strong"/>
        </w:rPr>
      </w:pPr>
      <w:r w:rsidRPr="009E36C4">
        <w:rPr>
          <w:rStyle w:val="Strong"/>
        </w:rPr>
        <w:t>Thursday, October 10, 2025</w:t>
      </w:r>
    </w:p>
    <w:p w14:paraId="71AB270A" w14:textId="77777777" w:rsidR="00C4129C" w:rsidRDefault="00C4129C" w:rsidP="00C4129C">
      <w:pPr>
        <w:spacing w:after="0" w:line="240" w:lineRule="auto"/>
        <w:jc w:val="center"/>
      </w:pPr>
    </w:p>
    <w:p w14:paraId="778C7821" w14:textId="0AD2C5A8" w:rsidR="003A5445" w:rsidRPr="007E47D0" w:rsidRDefault="003A5445" w:rsidP="003A5445">
      <w:pPr>
        <w:spacing w:after="0" w:line="240" w:lineRule="auto"/>
        <w:rPr>
          <w:rStyle w:val="IntenseReference"/>
        </w:rPr>
      </w:pPr>
      <w:r w:rsidRPr="007E47D0">
        <w:rPr>
          <w:rStyle w:val="IntenseReference"/>
        </w:rPr>
        <w:t>In 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860"/>
        <w:gridCol w:w="1705"/>
      </w:tblGrid>
      <w:tr w:rsidR="00AF1BC5" w14:paraId="7A132FCA" w14:textId="39DF0D53" w:rsidTr="00BB2703">
        <w:tc>
          <w:tcPr>
            <w:tcW w:w="2785" w:type="dxa"/>
            <w:shd w:val="clear" w:color="auto" w:fill="632E62" w:themeFill="text2"/>
            <w:vAlign w:val="center"/>
          </w:tcPr>
          <w:p w14:paraId="141AD8AD" w14:textId="4C63A947" w:rsidR="00AF1BC5" w:rsidRPr="003A5445" w:rsidRDefault="00AF1BC5" w:rsidP="00BB2703">
            <w:pPr>
              <w:jc w:val="center"/>
              <w:rPr>
                <w:b/>
                <w:bCs/>
                <w:color w:val="FFFFFF" w:themeColor="background1"/>
              </w:rPr>
            </w:pPr>
            <w:r w:rsidRPr="003A5445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860" w:type="dxa"/>
            <w:shd w:val="clear" w:color="auto" w:fill="632E62" w:themeFill="text2"/>
            <w:vAlign w:val="center"/>
          </w:tcPr>
          <w:p w14:paraId="64F730AC" w14:textId="461BEFFB" w:rsidR="00AF1BC5" w:rsidRPr="003A5445" w:rsidRDefault="00AF1BC5" w:rsidP="00BB2703">
            <w:pPr>
              <w:jc w:val="center"/>
              <w:rPr>
                <w:b/>
                <w:bCs/>
                <w:color w:val="FFFFFF" w:themeColor="background1"/>
              </w:rPr>
            </w:pPr>
            <w:r w:rsidRPr="003A5445">
              <w:rPr>
                <w:b/>
                <w:bCs/>
                <w:color w:val="FFFFFF" w:themeColor="background1"/>
              </w:rPr>
              <w:t>SDMC Role/Area</w:t>
            </w:r>
          </w:p>
        </w:tc>
        <w:tc>
          <w:tcPr>
            <w:tcW w:w="1705" w:type="dxa"/>
            <w:shd w:val="clear" w:color="auto" w:fill="632E62" w:themeFill="text2"/>
            <w:vAlign w:val="center"/>
          </w:tcPr>
          <w:p w14:paraId="3D0F0DA2" w14:textId="04E2D490" w:rsidR="00AF1BC5" w:rsidRPr="003A5445" w:rsidRDefault="009E6886" w:rsidP="00BB270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In-person (I) or Virtual (V)</w:t>
            </w:r>
          </w:p>
        </w:tc>
      </w:tr>
      <w:tr w:rsidR="00AF1BC5" w14:paraId="5EEFBA1F" w14:textId="757D375A" w:rsidTr="00BB2703">
        <w:tc>
          <w:tcPr>
            <w:tcW w:w="2785" w:type="dxa"/>
          </w:tcPr>
          <w:p w14:paraId="4D1D5B82" w14:textId="7C5B6142" w:rsidR="00AF1BC5" w:rsidRDefault="0045130F" w:rsidP="00C4129C">
            <w:pPr>
              <w:jc w:val="center"/>
            </w:pPr>
            <w:r w:rsidRPr="0045130F">
              <w:t xml:space="preserve">Mitchell, Chavis </w:t>
            </w:r>
          </w:p>
        </w:tc>
        <w:tc>
          <w:tcPr>
            <w:tcW w:w="4860" w:type="dxa"/>
          </w:tcPr>
          <w:p w14:paraId="7A4C5F44" w14:textId="58AF2E5D" w:rsidR="00AF1BC5" w:rsidRDefault="0045130F" w:rsidP="00C4129C">
            <w:pPr>
              <w:jc w:val="center"/>
            </w:pPr>
            <w:r w:rsidRPr="0045130F">
              <w:t>Chair, Principal</w:t>
            </w:r>
          </w:p>
        </w:tc>
        <w:tc>
          <w:tcPr>
            <w:tcW w:w="1705" w:type="dxa"/>
          </w:tcPr>
          <w:p w14:paraId="5FC16876" w14:textId="53929CB2" w:rsidR="00AF1BC5" w:rsidRDefault="0045130F" w:rsidP="00C4129C">
            <w:pPr>
              <w:jc w:val="center"/>
            </w:pPr>
            <w:r>
              <w:t>I</w:t>
            </w:r>
          </w:p>
        </w:tc>
      </w:tr>
      <w:tr w:rsidR="0081529E" w14:paraId="0BEBD3BF" w14:textId="3C102337" w:rsidTr="00BB2703">
        <w:tc>
          <w:tcPr>
            <w:tcW w:w="2785" w:type="dxa"/>
          </w:tcPr>
          <w:p w14:paraId="2DC4325F" w14:textId="08F2A5A9" w:rsidR="0081529E" w:rsidRDefault="0081529E" w:rsidP="0081529E">
            <w:pPr>
              <w:jc w:val="center"/>
            </w:pPr>
            <w:r w:rsidRPr="0045130F">
              <w:t>Hudson, Amanda</w:t>
            </w:r>
          </w:p>
        </w:tc>
        <w:tc>
          <w:tcPr>
            <w:tcW w:w="4860" w:type="dxa"/>
          </w:tcPr>
          <w:p w14:paraId="5ACD2AB2" w14:textId="16AC55CE" w:rsidR="0081529E" w:rsidRDefault="00BB2703" w:rsidP="0081529E">
            <w:pPr>
              <w:jc w:val="center"/>
            </w:pPr>
            <w:r>
              <w:t xml:space="preserve">Representative, </w:t>
            </w:r>
            <w:r w:rsidR="0081529E">
              <w:t>Math Department</w:t>
            </w:r>
          </w:p>
        </w:tc>
        <w:tc>
          <w:tcPr>
            <w:tcW w:w="1705" w:type="dxa"/>
          </w:tcPr>
          <w:p w14:paraId="5223BDA9" w14:textId="00555608" w:rsidR="0081529E" w:rsidRDefault="0081529E" w:rsidP="0081529E">
            <w:pPr>
              <w:jc w:val="center"/>
            </w:pPr>
            <w:r w:rsidRPr="008C1BFE">
              <w:t>I</w:t>
            </w:r>
          </w:p>
        </w:tc>
      </w:tr>
      <w:tr w:rsidR="0081529E" w14:paraId="0376EC9D" w14:textId="46469745" w:rsidTr="00BB2703">
        <w:tc>
          <w:tcPr>
            <w:tcW w:w="2785" w:type="dxa"/>
          </w:tcPr>
          <w:p w14:paraId="7126FB22" w14:textId="2C16A656" w:rsidR="0081529E" w:rsidRDefault="0081529E" w:rsidP="0081529E">
            <w:pPr>
              <w:jc w:val="center"/>
            </w:pPr>
            <w:r w:rsidRPr="00C40300">
              <w:t>Aust, Kristen</w:t>
            </w:r>
          </w:p>
        </w:tc>
        <w:tc>
          <w:tcPr>
            <w:tcW w:w="4860" w:type="dxa"/>
          </w:tcPr>
          <w:p w14:paraId="7F7D42C1" w14:textId="0E574BFB" w:rsidR="0081529E" w:rsidRDefault="00BB2703" w:rsidP="0081529E">
            <w:pPr>
              <w:jc w:val="center"/>
            </w:pPr>
            <w:r>
              <w:t xml:space="preserve">Representative, </w:t>
            </w:r>
            <w:r w:rsidR="0081529E">
              <w:t xml:space="preserve">English Department </w:t>
            </w:r>
          </w:p>
        </w:tc>
        <w:tc>
          <w:tcPr>
            <w:tcW w:w="1705" w:type="dxa"/>
          </w:tcPr>
          <w:p w14:paraId="1D25FEA5" w14:textId="64D2335E" w:rsidR="0081529E" w:rsidRDefault="0081529E" w:rsidP="0081529E">
            <w:pPr>
              <w:jc w:val="center"/>
            </w:pPr>
            <w:r w:rsidRPr="008C1BFE">
              <w:t>I</w:t>
            </w:r>
          </w:p>
        </w:tc>
      </w:tr>
      <w:tr w:rsidR="0081529E" w14:paraId="6F82BE1A" w14:textId="09AD433F" w:rsidTr="00BB2703">
        <w:tc>
          <w:tcPr>
            <w:tcW w:w="2785" w:type="dxa"/>
          </w:tcPr>
          <w:p w14:paraId="045FF850" w14:textId="3B7A7F94" w:rsidR="0081529E" w:rsidRDefault="0081529E" w:rsidP="0081529E">
            <w:pPr>
              <w:jc w:val="center"/>
            </w:pPr>
            <w:r w:rsidRPr="00C40300">
              <w:t>Aust, William</w:t>
            </w:r>
          </w:p>
        </w:tc>
        <w:tc>
          <w:tcPr>
            <w:tcW w:w="4860" w:type="dxa"/>
          </w:tcPr>
          <w:p w14:paraId="70C5CE28" w14:textId="460A8B63" w:rsidR="0081529E" w:rsidRDefault="00BB2703" w:rsidP="0081529E">
            <w:pPr>
              <w:jc w:val="center"/>
            </w:pPr>
            <w:r>
              <w:t xml:space="preserve">Representative, </w:t>
            </w:r>
            <w:r w:rsidR="0081529E">
              <w:t>P.E. Department</w:t>
            </w:r>
          </w:p>
        </w:tc>
        <w:tc>
          <w:tcPr>
            <w:tcW w:w="1705" w:type="dxa"/>
          </w:tcPr>
          <w:p w14:paraId="56F976DE" w14:textId="6F097B68" w:rsidR="0081529E" w:rsidRDefault="0081529E" w:rsidP="0081529E">
            <w:pPr>
              <w:jc w:val="center"/>
            </w:pPr>
            <w:r w:rsidRPr="008C1BFE">
              <w:t>I</w:t>
            </w:r>
          </w:p>
        </w:tc>
      </w:tr>
      <w:tr w:rsidR="0081529E" w14:paraId="6B24EFCC" w14:textId="35318040" w:rsidTr="00BB2703">
        <w:tc>
          <w:tcPr>
            <w:tcW w:w="2785" w:type="dxa"/>
          </w:tcPr>
          <w:p w14:paraId="05C3E91B" w14:textId="1C1BB421" w:rsidR="0081529E" w:rsidRDefault="0081529E" w:rsidP="0081529E">
            <w:pPr>
              <w:jc w:val="center"/>
            </w:pPr>
            <w:r>
              <w:t>Adams, Courtney</w:t>
            </w:r>
          </w:p>
        </w:tc>
        <w:tc>
          <w:tcPr>
            <w:tcW w:w="4860" w:type="dxa"/>
          </w:tcPr>
          <w:p w14:paraId="47D25573" w14:textId="1D923F71" w:rsidR="0081529E" w:rsidRDefault="00BB2703" w:rsidP="0081529E">
            <w:pPr>
              <w:jc w:val="center"/>
            </w:pPr>
            <w:r>
              <w:t xml:space="preserve">Representative, </w:t>
            </w:r>
            <w:r w:rsidR="00D63696">
              <w:t>Magnet Department</w:t>
            </w:r>
          </w:p>
        </w:tc>
        <w:tc>
          <w:tcPr>
            <w:tcW w:w="1705" w:type="dxa"/>
          </w:tcPr>
          <w:p w14:paraId="4711F67C" w14:textId="1FA9CD08" w:rsidR="0081529E" w:rsidRDefault="0081529E" w:rsidP="0081529E">
            <w:pPr>
              <w:jc w:val="center"/>
            </w:pPr>
            <w:r>
              <w:t>V</w:t>
            </w:r>
          </w:p>
        </w:tc>
      </w:tr>
      <w:tr w:rsidR="0081529E" w14:paraId="68AF844C" w14:textId="77777777" w:rsidTr="00BB2703">
        <w:tc>
          <w:tcPr>
            <w:tcW w:w="2785" w:type="dxa"/>
          </w:tcPr>
          <w:p w14:paraId="3FDFDC80" w14:textId="04A33577" w:rsidR="0081529E" w:rsidRDefault="0081529E" w:rsidP="0081529E">
            <w:pPr>
              <w:jc w:val="center"/>
            </w:pPr>
            <w:r w:rsidRPr="00CC65CC">
              <w:t>Rodriguez, Llesenia</w:t>
            </w:r>
          </w:p>
        </w:tc>
        <w:tc>
          <w:tcPr>
            <w:tcW w:w="4860" w:type="dxa"/>
          </w:tcPr>
          <w:p w14:paraId="0A1AE68E" w14:textId="0E9889CD" w:rsidR="0081529E" w:rsidRDefault="00BB2703" w:rsidP="0081529E">
            <w:pPr>
              <w:jc w:val="center"/>
            </w:pPr>
            <w:r>
              <w:t xml:space="preserve">Representative, </w:t>
            </w:r>
            <w:r w:rsidR="00D63696">
              <w:t>Science Department</w:t>
            </w:r>
          </w:p>
        </w:tc>
        <w:tc>
          <w:tcPr>
            <w:tcW w:w="1705" w:type="dxa"/>
          </w:tcPr>
          <w:p w14:paraId="450B9713" w14:textId="25411150" w:rsidR="0081529E" w:rsidRDefault="0081529E" w:rsidP="0081529E">
            <w:pPr>
              <w:jc w:val="center"/>
            </w:pPr>
            <w:r w:rsidRPr="008C1BFE">
              <w:t>I</w:t>
            </w:r>
          </w:p>
        </w:tc>
      </w:tr>
      <w:tr w:rsidR="003E789E" w14:paraId="1306D337" w14:textId="77777777" w:rsidTr="00BB2703">
        <w:tc>
          <w:tcPr>
            <w:tcW w:w="2785" w:type="dxa"/>
          </w:tcPr>
          <w:p w14:paraId="40E5A9AE" w14:textId="22BDBADB" w:rsidR="003E789E" w:rsidRDefault="003E789E" w:rsidP="0081529E">
            <w:pPr>
              <w:jc w:val="center"/>
            </w:pPr>
            <w:r>
              <w:t xml:space="preserve">Maxie, </w:t>
            </w:r>
            <w:proofErr w:type="spellStart"/>
            <w:r>
              <w:t>LaFoscia</w:t>
            </w:r>
            <w:proofErr w:type="spellEnd"/>
          </w:p>
        </w:tc>
        <w:tc>
          <w:tcPr>
            <w:tcW w:w="4860" w:type="dxa"/>
          </w:tcPr>
          <w:p w14:paraId="45AB5C3D" w14:textId="3CBE7AA6" w:rsidR="003E789E" w:rsidRDefault="00C91D6F" w:rsidP="0081529E">
            <w:pPr>
              <w:jc w:val="center"/>
            </w:pPr>
            <w:r>
              <w:t>Representative, Administrations</w:t>
            </w:r>
          </w:p>
        </w:tc>
        <w:tc>
          <w:tcPr>
            <w:tcW w:w="1705" w:type="dxa"/>
          </w:tcPr>
          <w:p w14:paraId="59FE7CCE" w14:textId="7274113C" w:rsidR="003E789E" w:rsidRPr="008C1BFE" w:rsidRDefault="00C91D6F" w:rsidP="0081529E">
            <w:pPr>
              <w:jc w:val="center"/>
            </w:pPr>
            <w:r>
              <w:t>I</w:t>
            </w:r>
          </w:p>
        </w:tc>
      </w:tr>
      <w:tr w:rsidR="0081529E" w14:paraId="785D53AD" w14:textId="77777777" w:rsidTr="00BB2703">
        <w:tc>
          <w:tcPr>
            <w:tcW w:w="2785" w:type="dxa"/>
          </w:tcPr>
          <w:p w14:paraId="5D447852" w14:textId="293887D5" w:rsidR="0081529E" w:rsidRDefault="0081529E" w:rsidP="0081529E">
            <w:pPr>
              <w:jc w:val="center"/>
            </w:pPr>
            <w:r>
              <w:t>Johnson, Claran</w:t>
            </w:r>
          </w:p>
        </w:tc>
        <w:tc>
          <w:tcPr>
            <w:tcW w:w="4860" w:type="dxa"/>
          </w:tcPr>
          <w:p w14:paraId="26C8C7B2" w14:textId="7649A1D2" w:rsidR="0081529E" w:rsidRDefault="0081529E" w:rsidP="0081529E">
            <w:pPr>
              <w:jc w:val="center"/>
            </w:pPr>
            <w:r>
              <w:t>Co-Chair, Administration</w:t>
            </w:r>
          </w:p>
        </w:tc>
        <w:tc>
          <w:tcPr>
            <w:tcW w:w="1705" w:type="dxa"/>
          </w:tcPr>
          <w:p w14:paraId="7FA1AC56" w14:textId="4C41FD62" w:rsidR="0081529E" w:rsidRDefault="0081529E" w:rsidP="0081529E">
            <w:pPr>
              <w:jc w:val="center"/>
            </w:pPr>
            <w:r w:rsidRPr="008C1BFE">
              <w:t>I</w:t>
            </w:r>
          </w:p>
        </w:tc>
      </w:tr>
      <w:tr w:rsidR="00C40300" w14:paraId="31710E22" w14:textId="77777777" w:rsidTr="00BB2703">
        <w:tc>
          <w:tcPr>
            <w:tcW w:w="2785" w:type="dxa"/>
          </w:tcPr>
          <w:p w14:paraId="2F601E8B" w14:textId="129714D2" w:rsidR="00C40300" w:rsidRDefault="00060CB5" w:rsidP="00C4129C">
            <w:pPr>
              <w:jc w:val="center"/>
            </w:pPr>
            <w:r>
              <w:t>Butler, Tercia</w:t>
            </w:r>
          </w:p>
        </w:tc>
        <w:tc>
          <w:tcPr>
            <w:tcW w:w="4860" w:type="dxa"/>
          </w:tcPr>
          <w:p w14:paraId="1580765E" w14:textId="361CED3E" w:rsidR="00C40300" w:rsidRDefault="00BB2703" w:rsidP="00C4129C">
            <w:pPr>
              <w:jc w:val="center"/>
            </w:pPr>
            <w:r>
              <w:t>Representative, Special Education</w:t>
            </w:r>
          </w:p>
        </w:tc>
        <w:tc>
          <w:tcPr>
            <w:tcW w:w="1705" w:type="dxa"/>
          </w:tcPr>
          <w:p w14:paraId="7C49ACA4" w14:textId="43A4A85C" w:rsidR="00C40300" w:rsidRDefault="00BB2703" w:rsidP="00C4129C">
            <w:pPr>
              <w:jc w:val="center"/>
            </w:pPr>
            <w:r>
              <w:t>I</w:t>
            </w:r>
          </w:p>
        </w:tc>
      </w:tr>
      <w:tr w:rsidR="0081529E" w14:paraId="39D135ED" w14:textId="77777777" w:rsidTr="00BB2703">
        <w:tc>
          <w:tcPr>
            <w:tcW w:w="2785" w:type="dxa"/>
          </w:tcPr>
          <w:p w14:paraId="03049BC0" w14:textId="783B8B10" w:rsidR="0081529E" w:rsidRDefault="00BB2703" w:rsidP="00C4129C">
            <w:pPr>
              <w:jc w:val="center"/>
            </w:pPr>
            <w:r>
              <w:t>Kolb, Ashley</w:t>
            </w:r>
          </w:p>
        </w:tc>
        <w:tc>
          <w:tcPr>
            <w:tcW w:w="4860" w:type="dxa"/>
          </w:tcPr>
          <w:p w14:paraId="62D7BCE9" w14:textId="1F74B960" w:rsidR="0081529E" w:rsidRDefault="00BB2703" w:rsidP="00C4129C">
            <w:pPr>
              <w:jc w:val="center"/>
            </w:pPr>
            <w:r>
              <w:t>Representative, PTO, 6</w:t>
            </w:r>
            <w:r w:rsidRPr="00BB2703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705" w:type="dxa"/>
          </w:tcPr>
          <w:p w14:paraId="09771E47" w14:textId="0120B6B3" w:rsidR="0081529E" w:rsidRDefault="00BB2703" w:rsidP="00C4129C">
            <w:pPr>
              <w:jc w:val="center"/>
            </w:pPr>
            <w:r>
              <w:t>I</w:t>
            </w:r>
          </w:p>
        </w:tc>
      </w:tr>
      <w:tr w:rsidR="00BB2703" w14:paraId="0854C3B1" w14:textId="77777777" w:rsidTr="00BB2703">
        <w:tc>
          <w:tcPr>
            <w:tcW w:w="2785" w:type="dxa"/>
          </w:tcPr>
          <w:p w14:paraId="774A2C0D" w14:textId="6E94CAF2" w:rsidR="00BB2703" w:rsidRDefault="00BB2703" w:rsidP="00BB2703">
            <w:pPr>
              <w:jc w:val="center"/>
            </w:pPr>
            <w:r>
              <w:t xml:space="preserve">Santamaria, Leslie </w:t>
            </w:r>
          </w:p>
        </w:tc>
        <w:tc>
          <w:tcPr>
            <w:tcW w:w="4860" w:type="dxa"/>
          </w:tcPr>
          <w:p w14:paraId="7388F8AA" w14:textId="1FD93165" w:rsidR="00BB2703" w:rsidRDefault="00BB2703" w:rsidP="00BB2703">
            <w:pPr>
              <w:jc w:val="center"/>
            </w:pPr>
            <w:r>
              <w:t>Representative, PTO, 7</w:t>
            </w:r>
            <w:r w:rsidRPr="00BB2703">
              <w:rPr>
                <w:vertAlign w:val="superscript"/>
              </w:rPr>
              <w:t>th</w:t>
            </w:r>
            <w:r>
              <w:t xml:space="preserve"> grade</w:t>
            </w:r>
            <w:r w:rsidR="007A5492">
              <w:t xml:space="preserve"> (recorder)</w:t>
            </w:r>
          </w:p>
        </w:tc>
        <w:tc>
          <w:tcPr>
            <w:tcW w:w="1705" w:type="dxa"/>
          </w:tcPr>
          <w:p w14:paraId="68B87B08" w14:textId="572FFFE7" w:rsidR="00BB2703" w:rsidRDefault="00BB2703" w:rsidP="00BB2703">
            <w:pPr>
              <w:jc w:val="center"/>
            </w:pPr>
            <w:r>
              <w:t>I</w:t>
            </w:r>
          </w:p>
        </w:tc>
      </w:tr>
    </w:tbl>
    <w:p w14:paraId="49AE6E8B" w14:textId="77777777" w:rsidR="00C4129C" w:rsidRDefault="00C4129C" w:rsidP="00C4129C">
      <w:pPr>
        <w:spacing w:after="0" w:line="240" w:lineRule="auto"/>
        <w:jc w:val="center"/>
      </w:pPr>
    </w:p>
    <w:p w14:paraId="12CB3E8B" w14:textId="77777777" w:rsidR="007E47D0" w:rsidRPr="007E47D0" w:rsidRDefault="007E47D0" w:rsidP="007E47D0">
      <w:pPr>
        <w:spacing w:after="0" w:line="240" w:lineRule="auto"/>
        <w:rPr>
          <w:rStyle w:val="IntenseReference"/>
        </w:rPr>
      </w:pPr>
      <w:r w:rsidRPr="007E47D0">
        <w:rPr>
          <w:rStyle w:val="IntenseReference"/>
        </w:rPr>
        <w:t>Agenda</w:t>
      </w:r>
    </w:p>
    <w:p w14:paraId="7228F686" w14:textId="77777777" w:rsidR="007E47D0" w:rsidRDefault="007E47D0" w:rsidP="007E47D0">
      <w:pPr>
        <w:pStyle w:val="ListParagraph"/>
        <w:numPr>
          <w:ilvl w:val="0"/>
          <w:numId w:val="1"/>
        </w:numPr>
        <w:spacing w:after="0" w:line="240" w:lineRule="auto"/>
      </w:pPr>
      <w:r>
        <w:t>Sign-In</w:t>
      </w:r>
    </w:p>
    <w:p w14:paraId="2DB75792" w14:textId="77777777" w:rsidR="007E47D0" w:rsidRDefault="007E47D0" w:rsidP="007E47D0">
      <w:pPr>
        <w:pStyle w:val="ListParagraph"/>
        <w:numPr>
          <w:ilvl w:val="0"/>
          <w:numId w:val="1"/>
        </w:numPr>
        <w:spacing w:after="0" w:line="240" w:lineRule="auto"/>
      </w:pPr>
      <w:r>
        <w:t>Welcome</w:t>
      </w:r>
    </w:p>
    <w:p w14:paraId="5DF7EDB2" w14:textId="77777777" w:rsidR="007E47D0" w:rsidRDefault="007E47D0" w:rsidP="007E47D0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3FD22EFA" w14:textId="6E9DC0AD" w:rsidR="007E47D0" w:rsidRDefault="000D1E4B" w:rsidP="007E47D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Minutes from </w:t>
      </w:r>
      <w:r w:rsidR="005F6659">
        <w:t>24-25 SDMC Meeting, Q4</w:t>
      </w:r>
    </w:p>
    <w:p w14:paraId="0BAD2583" w14:textId="77777777" w:rsidR="004C76A0" w:rsidRDefault="007E47D0" w:rsidP="007E47D0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14:paraId="39169961" w14:textId="77EE3E41" w:rsidR="003E789E" w:rsidRDefault="003E789E" w:rsidP="007E47D0">
      <w:pPr>
        <w:pStyle w:val="ListParagraph"/>
        <w:numPr>
          <w:ilvl w:val="1"/>
          <w:numId w:val="1"/>
        </w:numPr>
        <w:spacing w:after="0" w:line="240" w:lineRule="auto"/>
      </w:pPr>
      <w:r>
        <w:t>SDMC Roles and Responsibilities</w:t>
      </w:r>
    </w:p>
    <w:p w14:paraId="1EFEA0F5" w14:textId="6736C8DC" w:rsidR="003E789E" w:rsidRDefault="00C94911" w:rsidP="007E47D0">
      <w:pPr>
        <w:pStyle w:val="ListParagraph"/>
        <w:numPr>
          <w:ilvl w:val="1"/>
          <w:numId w:val="1"/>
        </w:numPr>
        <w:spacing w:after="0" w:line="240" w:lineRule="auto"/>
      </w:pPr>
      <w:r>
        <w:t>Campus Action Plan (CAP)</w:t>
      </w:r>
    </w:p>
    <w:p w14:paraId="4136E914" w14:textId="26A8E99B" w:rsidR="004C76A0" w:rsidRDefault="007E47D0" w:rsidP="007E47D0">
      <w:pPr>
        <w:pStyle w:val="ListParagraph"/>
        <w:numPr>
          <w:ilvl w:val="1"/>
          <w:numId w:val="1"/>
        </w:numPr>
        <w:spacing w:after="0" w:line="240" w:lineRule="auto"/>
      </w:pPr>
      <w:r>
        <w:t>PTO Considerations</w:t>
      </w:r>
    </w:p>
    <w:p w14:paraId="5696EDEA" w14:textId="2EC4ED78" w:rsidR="004C76A0" w:rsidRDefault="007E47D0" w:rsidP="007E47D0">
      <w:pPr>
        <w:pStyle w:val="ListParagraph"/>
        <w:numPr>
          <w:ilvl w:val="0"/>
          <w:numId w:val="1"/>
        </w:numPr>
        <w:spacing w:after="0" w:line="240" w:lineRule="auto"/>
      </w:pPr>
      <w:r>
        <w:t>Floor</w:t>
      </w:r>
      <w:r w:rsidR="008C7431">
        <w:t xml:space="preserve">: </w:t>
      </w:r>
      <w:r>
        <w:t>Q</w:t>
      </w:r>
      <w:r w:rsidR="004C76A0">
        <w:t>&amp;A</w:t>
      </w:r>
    </w:p>
    <w:p w14:paraId="0C4AAE4A" w14:textId="77777777" w:rsidR="004C76A0" w:rsidRDefault="007E47D0" w:rsidP="007E47D0">
      <w:pPr>
        <w:pStyle w:val="ListParagraph"/>
        <w:numPr>
          <w:ilvl w:val="0"/>
          <w:numId w:val="1"/>
        </w:numPr>
        <w:spacing w:after="0" w:line="240" w:lineRule="auto"/>
      </w:pPr>
      <w:r>
        <w:t>Calendar</w:t>
      </w:r>
    </w:p>
    <w:p w14:paraId="2BD5F7BC" w14:textId="57059865" w:rsidR="00BB2703" w:rsidRDefault="007E47D0" w:rsidP="00BB2703">
      <w:pPr>
        <w:pStyle w:val="ListParagraph"/>
        <w:numPr>
          <w:ilvl w:val="0"/>
          <w:numId w:val="1"/>
        </w:numPr>
        <w:spacing w:after="0" w:line="240" w:lineRule="auto"/>
      </w:pPr>
      <w:r>
        <w:t>Adjournment</w:t>
      </w:r>
    </w:p>
    <w:p w14:paraId="7886B49E" w14:textId="77777777" w:rsidR="00BB2703" w:rsidRDefault="00BB2703" w:rsidP="00BB2703">
      <w:pPr>
        <w:spacing w:after="0" w:line="240" w:lineRule="auto"/>
      </w:pPr>
    </w:p>
    <w:p w14:paraId="477E6DF3" w14:textId="30AF8A09" w:rsidR="00BB2703" w:rsidRPr="00BB2703" w:rsidRDefault="00BB2703" w:rsidP="00BB2703">
      <w:pPr>
        <w:spacing w:after="0" w:line="240" w:lineRule="auto"/>
        <w:rPr>
          <w:rStyle w:val="IntenseReference"/>
        </w:rPr>
      </w:pPr>
      <w:r w:rsidRPr="00BB2703">
        <w:rPr>
          <w:rStyle w:val="IntenseReference"/>
        </w:rPr>
        <w:t>Minutes</w:t>
      </w:r>
    </w:p>
    <w:p w14:paraId="423897F1" w14:textId="30E68E97" w:rsidR="00BB2703" w:rsidRDefault="00BB2703" w:rsidP="00BB270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Sign-In</w:t>
      </w:r>
      <w:r w:rsidR="008C7431">
        <w:rPr>
          <w:b/>
          <w:bCs/>
        </w:rPr>
        <w:t xml:space="preserve"> </w:t>
      </w:r>
    </w:p>
    <w:p w14:paraId="46C36833" w14:textId="73A179F8" w:rsidR="008C7431" w:rsidRDefault="008C7431" w:rsidP="008C743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meeting began at 4:20 PM. </w:t>
      </w:r>
    </w:p>
    <w:p w14:paraId="7F9BC9E3" w14:textId="44EF46CD" w:rsidR="000D1E4B" w:rsidRDefault="000D1E4B" w:rsidP="000D1E4B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Welcome</w:t>
      </w:r>
    </w:p>
    <w:p w14:paraId="74583562" w14:textId="1D30C541" w:rsidR="000D1E4B" w:rsidRDefault="000D1E4B" w:rsidP="000D1E4B">
      <w:pPr>
        <w:pStyle w:val="ListParagraph"/>
        <w:numPr>
          <w:ilvl w:val="1"/>
          <w:numId w:val="2"/>
        </w:numPr>
        <w:spacing w:after="0" w:line="240" w:lineRule="auto"/>
      </w:pPr>
      <w:r>
        <w:t>All attendees introduced themselves</w:t>
      </w:r>
    </w:p>
    <w:p w14:paraId="33B264BD" w14:textId="3EF45ED5" w:rsidR="000D1E4B" w:rsidRPr="005F6659" w:rsidRDefault="000D1E4B" w:rsidP="000D1E4B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Old Business</w:t>
      </w:r>
    </w:p>
    <w:p w14:paraId="4BB84E9D" w14:textId="6A6B22C8" w:rsidR="005F6659" w:rsidRDefault="007A5492" w:rsidP="005F6659">
      <w:pPr>
        <w:pStyle w:val="ListParagraph"/>
        <w:numPr>
          <w:ilvl w:val="1"/>
          <w:numId w:val="2"/>
        </w:numPr>
        <w:spacing w:after="0" w:line="240" w:lineRule="auto"/>
      </w:pPr>
      <w:r>
        <w:t>Leslie read the minutes from the Q4 May 19, 2025 meeting.</w:t>
      </w:r>
      <w:r w:rsidR="00C94911">
        <w:t xml:space="preserve"> Ms. Aust moved to approve, Mr. Aust seconded, and the minutes unanimously passed. </w:t>
      </w:r>
    </w:p>
    <w:p w14:paraId="5A4567F8" w14:textId="4B7B1977" w:rsidR="00C94911" w:rsidRDefault="007C4221" w:rsidP="00C94911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New Business</w:t>
      </w:r>
    </w:p>
    <w:p w14:paraId="4EB27611" w14:textId="7E4CF329" w:rsidR="007C4221" w:rsidRDefault="007C4221" w:rsidP="007C4221">
      <w:pPr>
        <w:pStyle w:val="ListParagraph"/>
        <w:numPr>
          <w:ilvl w:val="1"/>
          <w:numId w:val="2"/>
        </w:numPr>
        <w:spacing w:after="0" w:line="240" w:lineRule="auto"/>
      </w:pPr>
      <w:r>
        <w:rPr>
          <w:b/>
          <w:bCs/>
        </w:rPr>
        <w:lastRenderedPageBreak/>
        <w:t>SDMC Roles and Responsibilities:</w:t>
      </w:r>
    </w:p>
    <w:p w14:paraId="1176F443" w14:textId="56CB268B" w:rsidR="007C4221" w:rsidRDefault="00FF798D" w:rsidP="007C4221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Mr. Mitchell passed out the </w:t>
      </w:r>
      <w:r w:rsidR="0015613E">
        <w:t xml:space="preserve">SDMC guidelines that outline the roles and responsibilities of the committee. </w:t>
      </w:r>
      <w:r w:rsidR="00B62201">
        <w:t xml:space="preserve"> A document detailing the </w:t>
      </w:r>
      <w:r w:rsidR="00A30019">
        <w:t>guidelines was passed out.</w:t>
      </w:r>
    </w:p>
    <w:p w14:paraId="6E319085" w14:textId="72499795" w:rsidR="003A11A2" w:rsidRDefault="00A30019" w:rsidP="007C4221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Membership: </w:t>
      </w:r>
      <w:r w:rsidR="008964C9">
        <w:t xml:space="preserve">the size is determined by the principal, but should </w:t>
      </w:r>
      <w:r w:rsidR="000C4E83">
        <w:t xml:space="preserve">include parents, community representatives, </w:t>
      </w:r>
      <w:r w:rsidR="00D952DE">
        <w:t xml:space="preserve">and </w:t>
      </w:r>
      <w:r w:rsidR="000C4E83">
        <w:t xml:space="preserve">business </w:t>
      </w:r>
      <w:r w:rsidR="00D952DE">
        <w:t xml:space="preserve">representatives. For school staff, the SDMC should </w:t>
      </w:r>
      <w:r w:rsidR="008964C9">
        <w:t>maintain a 2:1 ratio of teachers</w:t>
      </w:r>
      <w:r w:rsidR="000C4E83">
        <w:t xml:space="preserve"> to school-based professionals. </w:t>
      </w:r>
    </w:p>
    <w:p w14:paraId="6C7EDAA8" w14:textId="7C3AC184" w:rsidR="00D952DE" w:rsidRDefault="00B378E6" w:rsidP="007C4221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The SDMC should be involved in decisions related to </w:t>
      </w:r>
      <w:r w:rsidR="001B1FF6">
        <w:t>areas specified by the TEA.  These include:</w:t>
      </w:r>
    </w:p>
    <w:p w14:paraId="3F2A0BC2" w14:textId="1354B53D" w:rsidR="001B1FF6" w:rsidRDefault="001B1FF6" w:rsidP="001B1FF6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Implementing all pertinent </w:t>
      </w:r>
      <w:r w:rsidR="008768B0">
        <w:t>campus</w:t>
      </w:r>
      <w:r>
        <w:t>-level planning processes</w:t>
      </w:r>
    </w:p>
    <w:p w14:paraId="52217944" w14:textId="7204B82D" w:rsidR="001B1FF6" w:rsidRDefault="003356B9" w:rsidP="001B1FF6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Developing school budget </w:t>
      </w:r>
      <w:r w:rsidR="008768B0">
        <w:t>recommendations</w:t>
      </w:r>
    </w:p>
    <w:p w14:paraId="7BA13FD1" w14:textId="71B1579C" w:rsidR="003356B9" w:rsidRDefault="003356B9" w:rsidP="001B1FF6">
      <w:pPr>
        <w:pStyle w:val="ListParagraph"/>
        <w:numPr>
          <w:ilvl w:val="3"/>
          <w:numId w:val="2"/>
        </w:numPr>
        <w:spacing w:after="0" w:line="240" w:lineRule="auto"/>
      </w:pPr>
      <w:r>
        <w:t>Submitting recommendations for school curriculum</w:t>
      </w:r>
    </w:p>
    <w:p w14:paraId="741B605D" w14:textId="1D1FD02D" w:rsidR="003356B9" w:rsidRDefault="003356B9" w:rsidP="001B1FF6">
      <w:pPr>
        <w:pStyle w:val="ListParagraph"/>
        <w:numPr>
          <w:ilvl w:val="3"/>
          <w:numId w:val="2"/>
        </w:numPr>
        <w:spacing w:after="0" w:line="240" w:lineRule="auto"/>
      </w:pPr>
      <w:r>
        <w:t>Recommending changes to staffing patterns</w:t>
      </w:r>
    </w:p>
    <w:p w14:paraId="621084D8" w14:textId="4F44AD29" w:rsidR="003356B9" w:rsidRDefault="00D80C43" w:rsidP="001B1FF6">
      <w:pPr>
        <w:pStyle w:val="ListParagraph"/>
        <w:numPr>
          <w:ilvl w:val="3"/>
          <w:numId w:val="2"/>
        </w:numPr>
        <w:spacing w:after="0" w:line="240" w:lineRule="auto"/>
      </w:pPr>
      <w:r>
        <w:t>Developing and approving staff development plans</w:t>
      </w:r>
    </w:p>
    <w:p w14:paraId="466818F8" w14:textId="3E490E83" w:rsidR="00D80C43" w:rsidRDefault="00D80C43" w:rsidP="001B1FF6">
      <w:pPr>
        <w:pStyle w:val="ListParagraph"/>
        <w:numPr>
          <w:ilvl w:val="3"/>
          <w:numId w:val="2"/>
        </w:numPr>
        <w:spacing w:after="0" w:line="240" w:lineRule="auto"/>
      </w:pPr>
      <w:r>
        <w:t>Developing, reviewing, revising the School Improvement Plan</w:t>
      </w:r>
    </w:p>
    <w:p w14:paraId="0F348DC7" w14:textId="3B7CCCB5" w:rsidR="00D80C43" w:rsidRDefault="00C17819" w:rsidP="001B1FF6">
      <w:pPr>
        <w:pStyle w:val="ListParagraph"/>
        <w:numPr>
          <w:ilvl w:val="3"/>
          <w:numId w:val="2"/>
        </w:numPr>
        <w:spacing w:after="0" w:line="240" w:lineRule="auto"/>
      </w:pPr>
      <w:r>
        <w:t>Reviewing and making recommendations to change the school’s organizational structure</w:t>
      </w:r>
    </w:p>
    <w:p w14:paraId="74314EA3" w14:textId="4F74DD8C" w:rsidR="00C17819" w:rsidRDefault="00C17819" w:rsidP="001B1FF6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Establishing procedures to </w:t>
      </w:r>
      <w:r w:rsidR="00D7340A">
        <w:t>ensure community engagement</w:t>
      </w:r>
    </w:p>
    <w:p w14:paraId="081DA5E1" w14:textId="3A765195" w:rsidR="00D7340A" w:rsidRDefault="00D7340A" w:rsidP="00D7340A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The SDMC acts as a board of advisors for the principal, and the principal eventually has </w:t>
      </w:r>
      <w:r w:rsidR="004F4D97">
        <w:t>full decision-making power</w:t>
      </w:r>
    </w:p>
    <w:p w14:paraId="607C40B4" w14:textId="25292D71" w:rsidR="004F4D97" w:rsidRDefault="004F4D97" w:rsidP="00D7340A">
      <w:pPr>
        <w:pStyle w:val="ListParagraph"/>
        <w:numPr>
          <w:ilvl w:val="2"/>
          <w:numId w:val="2"/>
        </w:numPr>
        <w:spacing w:after="0" w:line="240" w:lineRule="auto"/>
      </w:pPr>
      <w:r>
        <w:t>The co-chair will be Ms. Johnson, as she is in the Assistant Principal role.</w:t>
      </w:r>
    </w:p>
    <w:p w14:paraId="0324C8B5" w14:textId="020AB1EA" w:rsidR="004F4D97" w:rsidRDefault="00DE271F" w:rsidP="00D7340A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The SDMC meets quarterly. </w:t>
      </w:r>
    </w:p>
    <w:p w14:paraId="28AB6003" w14:textId="4FD682EA" w:rsidR="00EB7263" w:rsidRDefault="00EB7263" w:rsidP="00D7340A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The Social Studies Department will confirm their representative shortly. </w:t>
      </w:r>
    </w:p>
    <w:p w14:paraId="2330165E" w14:textId="66872AFC" w:rsidR="00DE271F" w:rsidRDefault="00836054" w:rsidP="00D7340A">
      <w:pPr>
        <w:pStyle w:val="ListParagraph"/>
        <w:numPr>
          <w:ilvl w:val="2"/>
          <w:numId w:val="2"/>
        </w:numPr>
        <w:spacing w:after="0" w:line="240" w:lineRule="auto"/>
      </w:pPr>
      <w:r>
        <w:t>Leslie Santamaria will serve as recorder, alternating with Ms. Aust when necessary.</w:t>
      </w:r>
    </w:p>
    <w:p w14:paraId="101A39AA" w14:textId="67A89F4E" w:rsidR="006E5159" w:rsidRDefault="006E5159" w:rsidP="00D7340A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More information can be </w:t>
      </w:r>
      <w:hyperlink r:id="rId7" w:history="1">
        <w:r w:rsidRPr="006E5159">
          <w:rPr>
            <w:rStyle w:val="Hyperlink"/>
          </w:rPr>
          <w:t>found on the website</w:t>
        </w:r>
      </w:hyperlink>
      <w:r>
        <w:t xml:space="preserve">. </w:t>
      </w:r>
    </w:p>
    <w:p w14:paraId="2338E4BF" w14:textId="0E850DF0" w:rsidR="00836054" w:rsidRPr="008768B0" w:rsidRDefault="008768B0" w:rsidP="00836054">
      <w:pPr>
        <w:pStyle w:val="ListParagraph"/>
        <w:numPr>
          <w:ilvl w:val="1"/>
          <w:numId w:val="2"/>
        </w:numPr>
        <w:spacing w:after="0" w:line="240" w:lineRule="auto"/>
      </w:pPr>
      <w:r>
        <w:rPr>
          <w:b/>
          <w:bCs/>
        </w:rPr>
        <w:t>Campus Action Plan (CAP)</w:t>
      </w:r>
    </w:p>
    <w:p w14:paraId="546F800D" w14:textId="2B49E1CB" w:rsidR="008768B0" w:rsidRDefault="008768B0" w:rsidP="008768B0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Mr. Mitchell presented the CAP. The SDMC originally reviewed the CAP at the Q4 meeting.  Two additional actions have since been added, </w:t>
      </w:r>
      <w:r w:rsidR="0092249B">
        <w:t>totaling</w:t>
      </w:r>
      <w:r>
        <w:t xml:space="preserve"> 5 actions. </w:t>
      </w:r>
    </w:p>
    <w:p w14:paraId="55250B48" w14:textId="4299DA9E" w:rsidR="008768B0" w:rsidRDefault="0092249B" w:rsidP="008768B0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Key Action 1: </w:t>
      </w:r>
      <w:r w:rsidR="002B608B">
        <w:t xml:space="preserve">To increase high </w:t>
      </w:r>
      <w:r w:rsidR="00CA0357">
        <w:t xml:space="preserve">quality instruction with the use od quality instructional materials for grades 6 – 8 </w:t>
      </w:r>
      <w:r w:rsidR="00781692">
        <w:t xml:space="preserve">as measured by NWEA MAP and STAAR </w:t>
      </w:r>
      <w:r w:rsidR="00781692">
        <w:rPr>
          <w:i/>
          <w:iCs/>
        </w:rPr>
        <w:t xml:space="preserve">Meets </w:t>
      </w:r>
      <w:r w:rsidR="00781692">
        <w:t xml:space="preserve">and </w:t>
      </w:r>
      <w:r w:rsidR="00781692">
        <w:rPr>
          <w:i/>
          <w:iCs/>
        </w:rPr>
        <w:t>Masters</w:t>
      </w:r>
      <w:r w:rsidR="00781692">
        <w:t xml:space="preserve"> data. </w:t>
      </w:r>
    </w:p>
    <w:p w14:paraId="6ADE026C" w14:textId="4C34AD49" w:rsidR="00781692" w:rsidRDefault="00781692" w:rsidP="00781692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Observation: </w:t>
      </w:r>
      <w:r w:rsidR="00201732">
        <w:t xml:space="preserve">the SPOT form has </w:t>
      </w:r>
      <w:r w:rsidR="00EB3FE3">
        <w:t>changed,</w:t>
      </w:r>
      <w:r w:rsidR="00201732">
        <w:t xml:space="preserve"> and the score needs to be updated to “… </w:t>
      </w:r>
      <w:r w:rsidR="00FC625D">
        <w:t xml:space="preserve">teachers will score </w:t>
      </w:r>
      <w:r w:rsidR="00FC625D">
        <w:rPr>
          <w:i/>
          <w:iCs/>
        </w:rPr>
        <w:t>9</w:t>
      </w:r>
      <w:r w:rsidR="00FC625D">
        <w:t xml:space="preserve"> points or higher in Instruction section…” </w:t>
      </w:r>
    </w:p>
    <w:p w14:paraId="598CBA70" w14:textId="74B143E5" w:rsidR="00FC625D" w:rsidRDefault="00A45FF4" w:rsidP="00E33C87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Key Action 2: </w:t>
      </w:r>
      <w:r w:rsidR="00D820CA">
        <w:t>Increase Leadership Density</w:t>
      </w:r>
    </w:p>
    <w:p w14:paraId="5586FB78" w14:textId="0A1653B8" w:rsidR="00D820CA" w:rsidRDefault="00856353" w:rsidP="00D820CA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The goal is to build leadership capacity at all levels of the school. </w:t>
      </w:r>
    </w:p>
    <w:p w14:paraId="49761F9E" w14:textId="26CD5F6C" w:rsidR="00CF1385" w:rsidRDefault="00CF1385" w:rsidP="00CF1385">
      <w:pPr>
        <w:pStyle w:val="ListParagraph"/>
        <w:numPr>
          <w:ilvl w:val="3"/>
          <w:numId w:val="2"/>
        </w:numPr>
        <w:spacing w:after="0" w:line="240" w:lineRule="auto"/>
      </w:pPr>
      <w:r>
        <w:lastRenderedPageBreak/>
        <w:t xml:space="preserve">Observation: the SPOT form has changed, and the score needs to be updated to “… teachers will score </w:t>
      </w:r>
      <w:r w:rsidR="005030F5">
        <w:rPr>
          <w:i/>
          <w:iCs/>
        </w:rPr>
        <w:t>9/13</w:t>
      </w:r>
      <w:r>
        <w:t xml:space="preserve"> points or higher in </w:t>
      </w:r>
      <w:r w:rsidR="006B6CA9">
        <w:t>Domain II (Instruction)</w:t>
      </w:r>
      <w:r>
        <w:t xml:space="preserve">…” </w:t>
      </w:r>
    </w:p>
    <w:p w14:paraId="3D131F15" w14:textId="41501B74" w:rsidR="00CF1385" w:rsidRDefault="00D1771C" w:rsidP="00D820CA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Teachers </w:t>
      </w:r>
      <w:r w:rsidR="00107690">
        <w:t>are already</w:t>
      </w:r>
      <w:r>
        <w:t xml:space="preserve"> on track to achieve this.  At the recent IRT observation teachers scored an average of </w:t>
      </w:r>
      <w:r w:rsidR="00214BA4">
        <w:t xml:space="preserve">11.95 and </w:t>
      </w:r>
      <w:r w:rsidR="007230BC">
        <w:t xml:space="preserve">the school </w:t>
      </w:r>
      <w:r w:rsidR="00214BA4">
        <w:t>met Proficient I</w:t>
      </w:r>
      <w:r w:rsidR="007230BC">
        <w:t xml:space="preserve"> levels. </w:t>
      </w:r>
    </w:p>
    <w:p w14:paraId="024D7103" w14:textId="60D31371" w:rsidR="007230BC" w:rsidRDefault="00A45FF4" w:rsidP="00A45FF4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Key Action 3: </w:t>
      </w:r>
      <w:r w:rsidR="002D19A0">
        <w:t xml:space="preserve">To increase student achievement in grades 6 – 8. </w:t>
      </w:r>
    </w:p>
    <w:p w14:paraId="6937E693" w14:textId="6EA3E990" w:rsidR="002D19A0" w:rsidRDefault="001D56BD" w:rsidP="002D19A0">
      <w:pPr>
        <w:pStyle w:val="ListParagraph"/>
        <w:numPr>
          <w:ilvl w:val="3"/>
          <w:numId w:val="2"/>
        </w:numPr>
        <w:spacing w:after="0" w:line="240" w:lineRule="auto"/>
      </w:pPr>
      <w:r>
        <w:t>The school invested in online resources (such as IXL)</w:t>
      </w:r>
    </w:p>
    <w:p w14:paraId="188C25B4" w14:textId="37B57A13" w:rsidR="00E74C49" w:rsidRDefault="006331E6" w:rsidP="00E74C49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Key Action 4: </w:t>
      </w:r>
      <w:r w:rsidR="00E74C49">
        <w:t>To close the minority achievement gap in Reading and Math</w:t>
      </w:r>
    </w:p>
    <w:p w14:paraId="28F5529C" w14:textId="77777777" w:rsidR="00364B4E" w:rsidRDefault="00B6289F" w:rsidP="00E74C49">
      <w:pPr>
        <w:pStyle w:val="ListParagraph"/>
        <w:numPr>
          <w:ilvl w:val="3"/>
          <w:numId w:val="2"/>
        </w:numPr>
        <w:spacing w:after="0" w:line="240" w:lineRule="auto"/>
      </w:pPr>
      <w:r>
        <w:t>The TEA sets specific targets for all districts</w:t>
      </w:r>
      <w:r w:rsidR="00994935">
        <w:t xml:space="preserve">. </w:t>
      </w:r>
      <w:r w:rsidR="002F5754">
        <w:t xml:space="preserve">This was added to the CAP based on the TEA Domain 3 accountability </w:t>
      </w:r>
      <w:r w:rsidR="00364B4E">
        <w:t xml:space="preserve">requirements. </w:t>
      </w:r>
    </w:p>
    <w:p w14:paraId="5672ABAC" w14:textId="77777777" w:rsidR="009D41EA" w:rsidRDefault="00364B4E" w:rsidP="00364B4E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Key Action 5: To develop </w:t>
      </w:r>
      <w:r w:rsidR="009D41EA">
        <w:t xml:space="preserve">quality Individual Education Plans in support of all special education students. </w:t>
      </w:r>
    </w:p>
    <w:p w14:paraId="4565E43F" w14:textId="77777777" w:rsidR="00EB2D98" w:rsidRDefault="009D41EA" w:rsidP="009D41EA">
      <w:pPr>
        <w:pStyle w:val="ListParagraph"/>
        <w:numPr>
          <w:ilvl w:val="3"/>
          <w:numId w:val="2"/>
        </w:numPr>
        <w:spacing w:after="0" w:line="240" w:lineRule="auto"/>
      </w:pPr>
      <w:r>
        <w:t>This was added as a district-wide Key Action for HISD schools</w:t>
      </w:r>
      <w:r w:rsidR="00EB2D98">
        <w:t>.</w:t>
      </w:r>
    </w:p>
    <w:p w14:paraId="715FC2FE" w14:textId="77777777" w:rsidR="00B53D16" w:rsidRDefault="00CD3307" w:rsidP="00E83EE2">
      <w:pPr>
        <w:pStyle w:val="ListParagraph"/>
        <w:numPr>
          <w:ilvl w:val="3"/>
          <w:numId w:val="2"/>
        </w:numPr>
        <w:spacing w:after="0" w:line="240" w:lineRule="auto"/>
      </w:pPr>
      <w:r>
        <w:t>Ms.</w:t>
      </w:r>
      <w:r w:rsidR="00E83EE2">
        <w:t xml:space="preserve"> Butler (</w:t>
      </w:r>
      <w:proofErr w:type="spellStart"/>
      <w:r w:rsidR="00E83EE2">
        <w:t>SpEd</w:t>
      </w:r>
      <w:proofErr w:type="spellEnd"/>
      <w:r w:rsidR="00E83EE2">
        <w:t xml:space="preserve"> Chair) is working hard to ensure MPVA maintains its 100% of </w:t>
      </w:r>
      <w:r>
        <w:t xml:space="preserve">IEPs with specific, clear, measurable goals. </w:t>
      </w:r>
    </w:p>
    <w:p w14:paraId="10EA913A" w14:textId="15B6B4E6" w:rsidR="007B1E0F" w:rsidRDefault="007B1E0F" w:rsidP="007B1E0F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On the day of the meeting (10/9), Mr. Mitchell sent out the </w:t>
      </w:r>
      <w:r w:rsidR="00394D65">
        <w:t>TEA</w:t>
      </w:r>
      <w:r w:rsidR="006A0062">
        <w:t xml:space="preserve"> Report Card for</w:t>
      </w:r>
      <w:r w:rsidR="00394D65">
        <w:t xml:space="preserve"> 2023-24</w:t>
      </w:r>
      <w:r w:rsidR="006A0062">
        <w:t xml:space="preserve">. This had been delayed due to lawsuits against the ratings change. </w:t>
      </w:r>
      <w:r w:rsidR="008871F2">
        <w:t xml:space="preserve">The 2024-25 TEA Report Card is also available and will </w:t>
      </w:r>
      <w:r w:rsidR="00083E59">
        <w:t>be sent</w:t>
      </w:r>
      <w:r w:rsidR="008871F2">
        <w:t xml:space="preserve"> shortly.  MPVA scored a B. </w:t>
      </w:r>
    </w:p>
    <w:p w14:paraId="2EB9726C" w14:textId="77777777" w:rsidR="00B53D16" w:rsidRDefault="00B53D16" w:rsidP="00B53D16">
      <w:pPr>
        <w:pStyle w:val="ListParagraph"/>
        <w:numPr>
          <w:ilvl w:val="1"/>
          <w:numId w:val="2"/>
        </w:numPr>
        <w:spacing w:after="0" w:line="240" w:lineRule="auto"/>
      </w:pPr>
      <w:r>
        <w:rPr>
          <w:b/>
          <w:bCs/>
        </w:rPr>
        <w:t>PTO Questions</w:t>
      </w:r>
    </w:p>
    <w:p w14:paraId="35C6FB91" w14:textId="3DD4E1FC" w:rsidR="00263917" w:rsidRDefault="009247DC" w:rsidP="00B53D16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During the CAP discussion, Ms. Santamaria asked about the funding and source </w:t>
      </w:r>
      <w:r w:rsidR="0064744C">
        <w:t>of dollars associated with the CAP. Mr. Mitchell explained the fund</w:t>
      </w:r>
      <w:r w:rsidR="00462609">
        <w:t>ed</w:t>
      </w:r>
      <w:r w:rsidR="0064744C">
        <w:t xml:space="preserve"> items and </w:t>
      </w:r>
      <w:r w:rsidR="00263917">
        <w:t xml:space="preserve">gave a high-level overview of the school budget.  In the Q2 meeting Mr. Mitchell will present a formal review of the campus budget. </w:t>
      </w:r>
    </w:p>
    <w:p w14:paraId="318A8020" w14:textId="3A530F27" w:rsidR="00635EFD" w:rsidRDefault="00CA1E20" w:rsidP="00B53D16">
      <w:pPr>
        <w:pStyle w:val="ListParagraph"/>
        <w:numPr>
          <w:ilvl w:val="2"/>
          <w:numId w:val="2"/>
        </w:numPr>
        <w:spacing w:after="0" w:line="240" w:lineRule="auto"/>
      </w:pPr>
      <w:r>
        <w:t>Ms. Santamaria and Ms. Kolb expressed questions</w:t>
      </w:r>
      <w:r w:rsidR="000666D2">
        <w:t xml:space="preserve"> some</w:t>
      </w:r>
      <w:r>
        <w:t xml:space="preserve"> parents have about SPARK periods and the </w:t>
      </w:r>
      <w:r w:rsidR="00954BA6">
        <w:t xml:space="preserve">use of IXL.  </w:t>
      </w:r>
      <w:r w:rsidR="00AF3BFD">
        <w:t>Because SPARK periods were not covered in Open House</w:t>
      </w:r>
      <w:r w:rsidR="008A3D71">
        <w:t xml:space="preserve">, some parents questioned the purpose of this period.  Some understood it to be a period for homework, others expressed confusion why their child had to </w:t>
      </w:r>
      <w:r w:rsidR="00083E59">
        <w:t>spend the period doing IX</w:t>
      </w:r>
      <w:r w:rsidR="00AF14E6">
        <w:t xml:space="preserve">L. </w:t>
      </w:r>
      <w:r w:rsidR="00A438C9">
        <w:t xml:space="preserve">Administrative and Department representatives explained that SPARK is different for every student, based on test scores and academic performance.  Some students are in GT SPARK </w:t>
      </w:r>
      <w:r w:rsidR="00635EFD">
        <w:t>rooms;</w:t>
      </w:r>
      <w:r w:rsidR="00A438C9">
        <w:t xml:space="preserve"> others are in SPARK rooms ba</w:t>
      </w:r>
      <w:r w:rsidR="00EE7EB5">
        <w:t>sed on HB 1416 (STAAR result intervention)</w:t>
      </w:r>
      <w:r w:rsidR="000862B2">
        <w:t xml:space="preserve">. </w:t>
      </w:r>
    </w:p>
    <w:p w14:paraId="0A781689" w14:textId="613DBC84" w:rsidR="00360D89" w:rsidRDefault="00360D89" w:rsidP="00E548F4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IXL is being used as a major intervention </w:t>
      </w:r>
      <w:r w:rsidR="00E548F4">
        <w:t xml:space="preserve">and growth piece at MPVA. </w:t>
      </w:r>
    </w:p>
    <w:p w14:paraId="2F8A8F1E" w14:textId="6D1F3B31" w:rsidR="00C73F64" w:rsidRDefault="00635EFD" w:rsidP="00C73F64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Ms. </w:t>
      </w:r>
      <w:r w:rsidR="001D0026">
        <w:t>Kolb</w:t>
      </w:r>
      <w:r w:rsidR="0000247E">
        <w:t xml:space="preserve"> shared a conception she hears from some parents about IXL</w:t>
      </w:r>
      <w:r w:rsidR="00F032BE">
        <w:t xml:space="preserve">, that many parents encourage their students to get a </w:t>
      </w:r>
      <w:r w:rsidR="00F032BE">
        <w:lastRenderedPageBreak/>
        <w:t xml:space="preserve">100, which is not a campus expectation. </w:t>
      </w:r>
      <w:r w:rsidR="00A53EA8">
        <w:t>Ms. Kolb suggested that parents receive communication that th</w:t>
      </w:r>
      <w:r w:rsidR="0000247E">
        <w:t>e Masters level in IXL is 80</w:t>
      </w:r>
      <w:r w:rsidR="00C8245A">
        <w:t xml:space="preserve"> and how to better support at home</w:t>
      </w:r>
      <w:r w:rsidR="00954BEB">
        <w:t xml:space="preserve">, including the use of IXL videos for </w:t>
      </w:r>
      <w:r w:rsidR="00D004CD">
        <w:t xml:space="preserve">explanation. </w:t>
      </w:r>
    </w:p>
    <w:p w14:paraId="07A29172" w14:textId="5D83912D" w:rsidR="007A1528" w:rsidRDefault="007A1528" w:rsidP="00C73F64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Greyhound Days were designed to allow teachers to focus on targeted intervention with students. </w:t>
      </w:r>
    </w:p>
    <w:p w14:paraId="09DB6CE9" w14:textId="77777777" w:rsidR="00931D82" w:rsidRDefault="00C73F64" w:rsidP="00C73F64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Ms. Santamaria raised a frequent topic among parents, the use (or lack of use) of lockers. </w:t>
      </w:r>
      <w:r w:rsidR="007A1528">
        <w:t xml:space="preserve">Parents are concerned about heavy backpacks and instruments, especially on </w:t>
      </w:r>
      <w:r w:rsidR="00DC1FA4">
        <w:t>Greyhound</w:t>
      </w:r>
      <w:r w:rsidR="007A1528">
        <w:t xml:space="preserve"> Days. </w:t>
      </w:r>
      <w:r w:rsidR="00931D82">
        <w:t xml:space="preserve">Parents question why students cannot be assigned lockers. </w:t>
      </w:r>
    </w:p>
    <w:p w14:paraId="26259E07" w14:textId="17112B44" w:rsidR="009604AF" w:rsidRDefault="00931D82" w:rsidP="00931D82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Teachers who were at MPVA when lockers were assigned expressed preference for no lockers. It is already difficult for students to make it to class on time with no </w:t>
      </w:r>
      <w:r w:rsidR="009604AF">
        <w:t>locker usage. Lockers become a gathering space for students, and an easy place for student</w:t>
      </w:r>
      <w:r w:rsidR="00607F78">
        <w:t>s</w:t>
      </w:r>
      <w:r w:rsidR="009604AF">
        <w:t xml:space="preserve"> to hold prohibited items. </w:t>
      </w:r>
    </w:p>
    <w:p w14:paraId="5EB25E01" w14:textId="4DEE189F" w:rsidR="009604AF" w:rsidRDefault="009604AF" w:rsidP="00931D82">
      <w:pPr>
        <w:pStyle w:val="ListParagraph"/>
        <w:numPr>
          <w:ilvl w:val="3"/>
          <w:numId w:val="2"/>
        </w:numPr>
        <w:spacing w:after="0" w:line="240" w:lineRule="auto"/>
      </w:pPr>
      <w:r>
        <w:t xml:space="preserve">Teachers do allow students to store some supplies </w:t>
      </w:r>
      <w:r w:rsidR="00607F78">
        <w:t xml:space="preserve">or instruments </w:t>
      </w:r>
      <w:r>
        <w:t xml:space="preserve">in class but find that many </w:t>
      </w:r>
      <w:r w:rsidR="00607F78">
        <w:t>students</w:t>
      </w:r>
      <w:r>
        <w:t xml:space="preserve"> do not leverage this opportunity, preferring to keep their items with them. </w:t>
      </w:r>
      <w:r w:rsidR="00173465">
        <w:t xml:space="preserve">Department representatives also reminded us that most academic materials are available on student Chromebooks. </w:t>
      </w:r>
    </w:p>
    <w:p w14:paraId="20457B82" w14:textId="77777777" w:rsidR="00667C8B" w:rsidRDefault="00607F78" w:rsidP="00931D82">
      <w:pPr>
        <w:pStyle w:val="ListParagraph"/>
        <w:numPr>
          <w:ilvl w:val="3"/>
          <w:numId w:val="2"/>
        </w:numPr>
        <w:spacing w:after="0" w:line="240" w:lineRule="auto"/>
      </w:pPr>
      <w:r>
        <w:t>Athletic</w:t>
      </w:r>
      <w:r w:rsidR="00C84B54">
        <w:t xml:space="preserve"> classes have special permission to use lockers.  Mr. Aust encouraged parents and students to explore and use this </w:t>
      </w:r>
      <w:r w:rsidR="00FE7AB9">
        <w:t xml:space="preserve">option. </w:t>
      </w:r>
    </w:p>
    <w:p w14:paraId="1BF69629" w14:textId="77777777" w:rsidR="00954BEB" w:rsidRDefault="00667C8B" w:rsidP="00667C8B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The PTO thanked the school community for its support of the We Are Meyerland (WAM) fundraising campaign, which started 10/1 and is ongoing. </w:t>
      </w:r>
    </w:p>
    <w:p w14:paraId="65EB25BC" w14:textId="77777777" w:rsidR="00D004CD" w:rsidRDefault="00D004CD" w:rsidP="00B07872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Floor Q&amp;A:</w:t>
      </w:r>
      <w:r>
        <w:t xml:space="preserve"> </w:t>
      </w:r>
    </w:p>
    <w:p w14:paraId="2F760950" w14:textId="77777777" w:rsidR="00D004CD" w:rsidRDefault="00D004CD" w:rsidP="00D004CD">
      <w:pPr>
        <w:pStyle w:val="ListParagraph"/>
        <w:numPr>
          <w:ilvl w:val="2"/>
          <w:numId w:val="2"/>
        </w:numPr>
        <w:spacing w:after="0" w:line="240" w:lineRule="auto"/>
      </w:pPr>
      <w:r>
        <w:t>Questions were expressed in previous agenda items.</w:t>
      </w:r>
    </w:p>
    <w:p w14:paraId="4A05A6FD" w14:textId="016B69AC" w:rsidR="00B07872" w:rsidRDefault="00B07872" w:rsidP="00B07872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Calendar</w:t>
      </w:r>
    </w:p>
    <w:p w14:paraId="42FF4A06" w14:textId="441DE5CC" w:rsidR="00B07872" w:rsidRDefault="00B07872" w:rsidP="00B07872">
      <w:pPr>
        <w:pStyle w:val="ListParagraph"/>
        <w:numPr>
          <w:ilvl w:val="1"/>
          <w:numId w:val="2"/>
        </w:numPr>
        <w:spacing w:after="0" w:line="240" w:lineRule="auto"/>
      </w:pPr>
      <w:r>
        <w:t>Next Quarterly Meeting – December 11, 2025</w:t>
      </w:r>
    </w:p>
    <w:p w14:paraId="5EAE3D4D" w14:textId="77777777" w:rsidR="00F6420C" w:rsidRDefault="00B07872" w:rsidP="00D004CD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remainder of the </w:t>
      </w:r>
      <w:r w:rsidR="00F6420C">
        <w:t xml:space="preserve">quarterly meetings will be scheduled shortly. </w:t>
      </w:r>
    </w:p>
    <w:p w14:paraId="3CAF96FD" w14:textId="77777777" w:rsidR="00F6420C" w:rsidRPr="00F6420C" w:rsidRDefault="00F6420C" w:rsidP="00F6420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6420C">
        <w:rPr>
          <w:b/>
          <w:bCs/>
        </w:rPr>
        <w:t>Adjournment</w:t>
      </w:r>
    </w:p>
    <w:p w14:paraId="64B9BD35" w14:textId="0493EBD6" w:rsidR="006331E6" w:rsidRDefault="00F6420C" w:rsidP="00F6420C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meeting was adjourned at 5:45 pm. </w:t>
      </w:r>
      <w:r w:rsidR="00E74C49">
        <w:br/>
      </w:r>
    </w:p>
    <w:sectPr w:rsidR="006331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D1CA" w14:textId="77777777" w:rsidR="000422F4" w:rsidRDefault="000422F4" w:rsidP="000422F4">
      <w:pPr>
        <w:spacing w:after="0" w:line="240" w:lineRule="auto"/>
      </w:pPr>
      <w:r>
        <w:separator/>
      </w:r>
    </w:p>
  </w:endnote>
  <w:endnote w:type="continuationSeparator" w:id="0">
    <w:p w14:paraId="16AD2D61" w14:textId="77777777" w:rsidR="000422F4" w:rsidRDefault="000422F4" w:rsidP="0004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91F2" w14:textId="77777777" w:rsidR="000422F4" w:rsidRDefault="000422F4" w:rsidP="000422F4">
      <w:pPr>
        <w:spacing w:after="0" w:line="240" w:lineRule="auto"/>
      </w:pPr>
      <w:r>
        <w:separator/>
      </w:r>
    </w:p>
  </w:footnote>
  <w:footnote w:type="continuationSeparator" w:id="0">
    <w:p w14:paraId="003D4DA7" w14:textId="77777777" w:rsidR="000422F4" w:rsidRDefault="000422F4" w:rsidP="0004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725" w14:textId="70FBA3F6" w:rsidR="000422F4" w:rsidRDefault="000422F4" w:rsidP="000422F4">
    <w:pPr>
      <w:pStyle w:val="Header"/>
      <w:jc w:val="center"/>
    </w:pPr>
    <w:r>
      <w:rPr>
        <w:noProof/>
      </w:rPr>
      <w:drawing>
        <wp:inline distT="0" distB="0" distL="0" distR="0" wp14:anchorId="00CE0763" wp14:editId="4F703CBE">
          <wp:extent cx="796925" cy="796925"/>
          <wp:effectExtent l="0" t="0" r="3175" b="3175"/>
          <wp:docPr id="1499251690" name="Picture 1" descr="MPVA (@MeyerlandMS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VA (@MeyerlandMS) / 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6" cy="80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A7E"/>
    <w:multiLevelType w:val="hybridMultilevel"/>
    <w:tmpl w:val="6A8AC3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75E7"/>
    <w:multiLevelType w:val="hybridMultilevel"/>
    <w:tmpl w:val="D3A61F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23533">
    <w:abstractNumId w:val="0"/>
  </w:num>
  <w:num w:numId="2" w16cid:durableId="135013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4E"/>
    <w:rsid w:val="0000247E"/>
    <w:rsid w:val="000422F4"/>
    <w:rsid w:val="00060CB5"/>
    <w:rsid w:val="000666D2"/>
    <w:rsid w:val="00083E59"/>
    <w:rsid w:val="000862B2"/>
    <w:rsid w:val="000A1625"/>
    <w:rsid w:val="000C4E83"/>
    <w:rsid w:val="000D1E4B"/>
    <w:rsid w:val="00107690"/>
    <w:rsid w:val="0015613E"/>
    <w:rsid w:val="00173465"/>
    <w:rsid w:val="001B1FF6"/>
    <w:rsid w:val="001D0026"/>
    <w:rsid w:val="001D56BD"/>
    <w:rsid w:val="00201732"/>
    <w:rsid w:val="00214BA4"/>
    <w:rsid w:val="00263917"/>
    <w:rsid w:val="00295A0F"/>
    <w:rsid w:val="002B608B"/>
    <w:rsid w:val="002D19A0"/>
    <w:rsid w:val="002F5754"/>
    <w:rsid w:val="003356B9"/>
    <w:rsid w:val="00360D89"/>
    <w:rsid w:val="00364B4E"/>
    <w:rsid w:val="00394D65"/>
    <w:rsid w:val="003A11A2"/>
    <w:rsid w:val="003A5445"/>
    <w:rsid w:val="003E789E"/>
    <w:rsid w:val="0045130F"/>
    <w:rsid w:val="00462609"/>
    <w:rsid w:val="004C76A0"/>
    <w:rsid w:val="004D2D50"/>
    <w:rsid w:val="004F4D97"/>
    <w:rsid w:val="005030F5"/>
    <w:rsid w:val="005F6659"/>
    <w:rsid w:val="00607F78"/>
    <w:rsid w:val="006331E6"/>
    <w:rsid w:val="00635EFD"/>
    <w:rsid w:val="0064744C"/>
    <w:rsid w:val="00667C8B"/>
    <w:rsid w:val="006A0062"/>
    <w:rsid w:val="006B249B"/>
    <w:rsid w:val="006B6CA9"/>
    <w:rsid w:val="006E5159"/>
    <w:rsid w:val="007230BC"/>
    <w:rsid w:val="00781692"/>
    <w:rsid w:val="007A1528"/>
    <w:rsid w:val="007A5492"/>
    <w:rsid w:val="007B1E0F"/>
    <w:rsid w:val="007C4221"/>
    <w:rsid w:val="007E2FC9"/>
    <w:rsid w:val="007E47D0"/>
    <w:rsid w:val="0081529E"/>
    <w:rsid w:val="00836054"/>
    <w:rsid w:val="00856353"/>
    <w:rsid w:val="008768B0"/>
    <w:rsid w:val="008871F2"/>
    <w:rsid w:val="008964C9"/>
    <w:rsid w:val="008A3D71"/>
    <w:rsid w:val="008C7431"/>
    <w:rsid w:val="0092249B"/>
    <w:rsid w:val="009247DC"/>
    <w:rsid w:val="00931D82"/>
    <w:rsid w:val="00954BA6"/>
    <w:rsid w:val="00954BEB"/>
    <w:rsid w:val="009604AF"/>
    <w:rsid w:val="00994935"/>
    <w:rsid w:val="009D41EA"/>
    <w:rsid w:val="009E36C4"/>
    <w:rsid w:val="009E6886"/>
    <w:rsid w:val="00A30019"/>
    <w:rsid w:val="00A438C9"/>
    <w:rsid w:val="00A45FF4"/>
    <w:rsid w:val="00A53EA8"/>
    <w:rsid w:val="00A91BEE"/>
    <w:rsid w:val="00AA3BF3"/>
    <w:rsid w:val="00AE0EFA"/>
    <w:rsid w:val="00AF14E6"/>
    <w:rsid w:val="00AF1BC5"/>
    <w:rsid w:val="00AF3BFD"/>
    <w:rsid w:val="00B07872"/>
    <w:rsid w:val="00B378E6"/>
    <w:rsid w:val="00B53D16"/>
    <w:rsid w:val="00B62201"/>
    <w:rsid w:val="00B6289F"/>
    <w:rsid w:val="00BB2703"/>
    <w:rsid w:val="00C02D55"/>
    <w:rsid w:val="00C17819"/>
    <w:rsid w:val="00C40300"/>
    <w:rsid w:val="00C4129C"/>
    <w:rsid w:val="00C73F64"/>
    <w:rsid w:val="00C8245A"/>
    <w:rsid w:val="00C84B54"/>
    <w:rsid w:val="00C91D6F"/>
    <w:rsid w:val="00C94911"/>
    <w:rsid w:val="00CA0357"/>
    <w:rsid w:val="00CA1E20"/>
    <w:rsid w:val="00CC65CC"/>
    <w:rsid w:val="00CD3307"/>
    <w:rsid w:val="00CF1385"/>
    <w:rsid w:val="00D004CD"/>
    <w:rsid w:val="00D1771C"/>
    <w:rsid w:val="00D63696"/>
    <w:rsid w:val="00D7340A"/>
    <w:rsid w:val="00D80C43"/>
    <w:rsid w:val="00D820CA"/>
    <w:rsid w:val="00D952DE"/>
    <w:rsid w:val="00DC1FA4"/>
    <w:rsid w:val="00DE271F"/>
    <w:rsid w:val="00E11F4D"/>
    <w:rsid w:val="00E2664E"/>
    <w:rsid w:val="00E33C87"/>
    <w:rsid w:val="00E548F4"/>
    <w:rsid w:val="00E74C49"/>
    <w:rsid w:val="00E83EE2"/>
    <w:rsid w:val="00EB2D98"/>
    <w:rsid w:val="00EB3FE3"/>
    <w:rsid w:val="00EB7263"/>
    <w:rsid w:val="00EE7EB5"/>
    <w:rsid w:val="00F032BE"/>
    <w:rsid w:val="00F6420C"/>
    <w:rsid w:val="00FC625D"/>
    <w:rsid w:val="00FE7AB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9981C"/>
  <w15:chartTrackingRefBased/>
  <w15:docId w15:val="{6CA0F4F2-ACE3-494E-9E8B-EDF9DC36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64E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64E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64E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64E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64E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64E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64E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64E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64E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64E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64E"/>
    <w:rPr>
      <w:b/>
      <w:bCs/>
      <w:smallCaps/>
      <w:color w:val="6D1D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F4"/>
  </w:style>
  <w:style w:type="paragraph" w:styleId="Footer">
    <w:name w:val="footer"/>
    <w:basedOn w:val="Normal"/>
    <w:link w:val="FooterChar"/>
    <w:uiPriority w:val="99"/>
    <w:unhideWhenUsed/>
    <w:rsid w:val="0004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2F4"/>
  </w:style>
  <w:style w:type="table" w:styleId="TableGrid">
    <w:name w:val="Table Grid"/>
    <w:basedOn w:val="TableNormal"/>
    <w:uiPriority w:val="39"/>
    <w:rsid w:val="00E1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5159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15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E3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yerland.houstonisd.org/support-our-school/sd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Santamaria</dc:creator>
  <cp:keywords/>
  <dc:description/>
  <cp:lastModifiedBy>Leslie Santamaria</cp:lastModifiedBy>
  <cp:revision>122</cp:revision>
  <dcterms:created xsi:type="dcterms:W3CDTF">2025-10-10T17:02:00Z</dcterms:created>
  <dcterms:modified xsi:type="dcterms:W3CDTF">2025-10-10T19:05:00Z</dcterms:modified>
</cp:coreProperties>
</file>