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E395" w14:textId="31AE2C6B" w:rsidR="0069160D" w:rsidRDefault="0069160D" w:rsidP="0069160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D60129">
        <w:rPr>
          <w:b/>
          <w:bCs/>
          <w:noProof/>
          <w:color w:val="0000FF"/>
          <w:lang w:val="en"/>
        </w:rPr>
        <w:drawing>
          <wp:inline distT="0" distB="0" distL="0" distR="0" wp14:anchorId="01EAD8A5" wp14:editId="2985E844">
            <wp:extent cx="2273935" cy="640715"/>
            <wp:effectExtent l="0" t="0" r="0" b="0"/>
            <wp:docPr id="1" name="Picture 1" descr="Cherry Hill Public Schools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rry Hill Public Schools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ED01" w14:textId="2BE4299D" w:rsidR="0069160D" w:rsidRDefault="0069160D" w:rsidP="0069160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B1D353D" w14:textId="5A9050C2" w:rsidR="0069160D" w:rsidRDefault="0069160D" w:rsidP="0069160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03809C1" w14:textId="77777777" w:rsidR="0069160D" w:rsidRPr="001B2370" w:rsidRDefault="0069160D" w:rsidP="00691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70">
        <w:rPr>
          <w:rFonts w:ascii="Times New Roman" w:hAnsi="Times New Roman" w:cs="Times New Roman"/>
          <w:b/>
          <w:sz w:val="28"/>
          <w:szCs w:val="28"/>
        </w:rPr>
        <w:t>Information Regarding Awarding of Request for Proposal</w:t>
      </w:r>
    </w:p>
    <w:p w14:paraId="30DB2BD9" w14:textId="77777777" w:rsidR="0069160D" w:rsidRPr="00056000" w:rsidRDefault="0069160D" w:rsidP="006916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DEBB0" w14:textId="4CD3DE90" w:rsidR="0069160D" w:rsidRDefault="0069160D" w:rsidP="0069160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0D">
        <w:rPr>
          <w:rFonts w:ascii="Times New Roman" w:hAnsi="Times New Roman" w:cs="Times New Roman"/>
          <w:sz w:val="24"/>
          <w:szCs w:val="24"/>
        </w:rPr>
        <w:t xml:space="preserve">Proposals for </w:t>
      </w:r>
      <w:r w:rsidR="00774B6C">
        <w:rPr>
          <w:rFonts w:ascii="Times New Roman" w:hAnsi="Times New Roman" w:cs="Times New Roman"/>
          <w:sz w:val="24"/>
          <w:szCs w:val="24"/>
        </w:rPr>
        <w:t>District P</w:t>
      </w:r>
      <w:r w:rsidR="00C13AFE">
        <w:rPr>
          <w:rFonts w:ascii="Times New Roman" w:hAnsi="Times New Roman" w:cs="Times New Roman"/>
          <w:sz w:val="24"/>
          <w:szCs w:val="24"/>
        </w:rPr>
        <w:t xml:space="preserve">rofessional </w:t>
      </w:r>
      <w:r w:rsidR="00774B6C">
        <w:rPr>
          <w:rFonts w:ascii="Times New Roman" w:hAnsi="Times New Roman" w:cs="Times New Roman"/>
          <w:sz w:val="24"/>
          <w:szCs w:val="24"/>
        </w:rPr>
        <w:t>D</w:t>
      </w:r>
      <w:r w:rsidR="00C13AFE">
        <w:rPr>
          <w:rFonts w:ascii="Times New Roman" w:hAnsi="Times New Roman" w:cs="Times New Roman"/>
          <w:sz w:val="24"/>
          <w:szCs w:val="24"/>
        </w:rPr>
        <w:t>evelopment</w:t>
      </w:r>
      <w:r w:rsidR="00774B6C">
        <w:rPr>
          <w:rFonts w:ascii="Times New Roman" w:hAnsi="Times New Roman" w:cs="Times New Roman"/>
          <w:sz w:val="24"/>
          <w:szCs w:val="24"/>
        </w:rPr>
        <w:t xml:space="preserve"> – </w:t>
      </w:r>
      <w:r w:rsidR="00A61364">
        <w:rPr>
          <w:rFonts w:ascii="Times New Roman" w:hAnsi="Times New Roman" w:cs="Times New Roman"/>
          <w:sz w:val="24"/>
          <w:szCs w:val="24"/>
        </w:rPr>
        <w:t>K-12 Core Content</w:t>
      </w:r>
      <w:r w:rsidR="00845DC1">
        <w:rPr>
          <w:rFonts w:ascii="Times New Roman" w:hAnsi="Times New Roman" w:cs="Times New Roman"/>
          <w:sz w:val="24"/>
          <w:szCs w:val="24"/>
        </w:rPr>
        <w:t xml:space="preserve"> </w:t>
      </w:r>
      <w:r w:rsidRPr="0069160D">
        <w:rPr>
          <w:rFonts w:ascii="Times New Roman" w:hAnsi="Times New Roman" w:cs="Times New Roman"/>
          <w:sz w:val="24"/>
          <w:szCs w:val="24"/>
        </w:rPr>
        <w:t xml:space="preserve">were received and reviewed by a team of selected staff members of the Cherry Hill Board of Education. Proposals were evaluated and graded on the following criteria: </w:t>
      </w:r>
      <w:r w:rsidR="0056533C">
        <w:rPr>
          <w:rFonts w:ascii="Times New Roman" w:hAnsi="Times New Roman" w:cs="Times New Roman"/>
          <w:sz w:val="24"/>
          <w:szCs w:val="24"/>
        </w:rPr>
        <w:t>Technical Specifications,</w:t>
      </w:r>
      <w:r w:rsidR="00C13AFE">
        <w:rPr>
          <w:rFonts w:ascii="Times New Roman" w:hAnsi="Times New Roman" w:cs="Times New Roman"/>
          <w:sz w:val="24"/>
          <w:szCs w:val="24"/>
        </w:rPr>
        <w:t xml:space="preserve"> </w:t>
      </w:r>
      <w:r w:rsidR="0056533C">
        <w:rPr>
          <w:rFonts w:ascii="Times New Roman" w:hAnsi="Times New Roman" w:cs="Times New Roman"/>
          <w:sz w:val="24"/>
          <w:szCs w:val="24"/>
        </w:rPr>
        <w:t xml:space="preserve">Management Criteria, </w:t>
      </w:r>
      <w:r w:rsidR="00C13AFE">
        <w:rPr>
          <w:rFonts w:ascii="Times New Roman" w:hAnsi="Times New Roman" w:cs="Times New Roman"/>
          <w:sz w:val="24"/>
          <w:szCs w:val="24"/>
        </w:rPr>
        <w:t xml:space="preserve">Experience and Ability, </w:t>
      </w:r>
      <w:r w:rsidR="0056533C">
        <w:rPr>
          <w:rFonts w:ascii="Times New Roman" w:hAnsi="Times New Roman" w:cs="Times New Roman"/>
          <w:sz w:val="24"/>
          <w:szCs w:val="24"/>
        </w:rPr>
        <w:t>and Cost Criteria</w:t>
      </w:r>
      <w:r w:rsidRPr="0069160D">
        <w:rPr>
          <w:rFonts w:ascii="Times New Roman" w:hAnsi="Times New Roman" w:cs="Times New Roman"/>
          <w:sz w:val="24"/>
          <w:szCs w:val="24"/>
        </w:rPr>
        <w:t>.  The District is hereby posting the recommendation to award contracts because this was issued as a Request for Proposal under the Competitive Contract Process as outlined in N.J.S.A.18A:18A et seq.</w:t>
      </w:r>
    </w:p>
    <w:p w14:paraId="0BB6676E" w14:textId="77777777" w:rsidR="00774B6C" w:rsidRPr="0069160D" w:rsidRDefault="00774B6C" w:rsidP="006916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914F1" w14:textId="77777777" w:rsidR="0069160D" w:rsidRPr="0069160D" w:rsidRDefault="0069160D" w:rsidP="0069160D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8876" w:type="dxa"/>
        <w:jc w:val="center"/>
        <w:tblLook w:val="04A0" w:firstRow="1" w:lastRow="0" w:firstColumn="1" w:lastColumn="0" w:noHBand="0" w:noVBand="1"/>
      </w:tblPr>
      <w:tblGrid>
        <w:gridCol w:w="2066"/>
        <w:gridCol w:w="2270"/>
        <w:gridCol w:w="2270"/>
        <w:gridCol w:w="2270"/>
      </w:tblGrid>
      <w:tr w:rsidR="00A61364" w14:paraId="44DA9479" w14:textId="6E837E9F" w:rsidTr="00A61364">
        <w:trPr>
          <w:trHeight w:val="720"/>
          <w:jc w:val="center"/>
        </w:trPr>
        <w:tc>
          <w:tcPr>
            <w:tcW w:w="2066" w:type="dxa"/>
            <w:shd w:val="clear" w:color="auto" w:fill="000000" w:themeFill="text1"/>
            <w:vAlign w:val="center"/>
          </w:tcPr>
          <w:p w14:paraId="41FA6AE8" w14:textId="77777777" w:rsidR="00A61364" w:rsidRPr="00F13148" w:rsidRDefault="00A61364" w:rsidP="00B46FF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314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SCORER</w:t>
            </w:r>
          </w:p>
        </w:tc>
        <w:tc>
          <w:tcPr>
            <w:tcW w:w="2270" w:type="dxa"/>
            <w:shd w:val="clear" w:color="auto" w:fill="000000" w:themeFill="text1"/>
            <w:vAlign w:val="center"/>
          </w:tcPr>
          <w:p w14:paraId="3EE4139C" w14:textId="4C6C5E82" w:rsidR="00A61364" w:rsidRPr="0064626C" w:rsidRDefault="00A61364" w:rsidP="00B46FF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MGT Impact Solutions, LLC</w:t>
            </w:r>
          </w:p>
        </w:tc>
        <w:tc>
          <w:tcPr>
            <w:tcW w:w="2270" w:type="dxa"/>
            <w:shd w:val="clear" w:color="auto" w:fill="000000" w:themeFill="text1"/>
          </w:tcPr>
          <w:p w14:paraId="526DBFEF" w14:textId="5BEC3374" w:rsidR="00A61364" w:rsidRDefault="00A61364" w:rsidP="00B46FF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F2190CE" w14:textId="147ADE60" w:rsidR="00A61364" w:rsidRDefault="00A61364" w:rsidP="00B46FF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Rutgers University</w:t>
            </w:r>
          </w:p>
          <w:p w14:paraId="2E40E93D" w14:textId="77777777" w:rsidR="00A61364" w:rsidRDefault="00A61364" w:rsidP="00B46FF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000000" w:themeFill="text1"/>
          </w:tcPr>
          <w:p w14:paraId="65DE5701" w14:textId="77777777" w:rsidR="00A61364" w:rsidRDefault="00A61364" w:rsidP="00B46FF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A735484" w14:textId="394013C8" w:rsidR="00A61364" w:rsidRDefault="00A61364" w:rsidP="00B46FF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TNTP, Inc. </w:t>
            </w:r>
          </w:p>
        </w:tc>
      </w:tr>
      <w:tr w:rsidR="00A61364" w14:paraId="43C5017B" w14:textId="4A6D6760" w:rsidTr="00A61364">
        <w:trPr>
          <w:trHeight w:val="720"/>
          <w:jc w:val="center"/>
        </w:trPr>
        <w:tc>
          <w:tcPr>
            <w:tcW w:w="2066" w:type="dxa"/>
            <w:vAlign w:val="center"/>
          </w:tcPr>
          <w:p w14:paraId="107EC259" w14:textId="0D827236" w:rsidR="00A61364" w:rsidRPr="0056533C" w:rsidRDefault="00A61364" w:rsidP="00F131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</w:t>
            </w:r>
          </w:p>
        </w:tc>
        <w:tc>
          <w:tcPr>
            <w:tcW w:w="2270" w:type="dxa"/>
            <w:vAlign w:val="center"/>
          </w:tcPr>
          <w:p w14:paraId="69F28262" w14:textId="03DC7DDB" w:rsidR="00A61364" w:rsidRPr="002660DE" w:rsidRDefault="00A61364" w:rsidP="00672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  <w:tc>
          <w:tcPr>
            <w:tcW w:w="2270" w:type="dxa"/>
          </w:tcPr>
          <w:p w14:paraId="4E413203" w14:textId="77777777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541B0" w14:textId="3D015D0B" w:rsidR="00A61364" w:rsidRDefault="002C374C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70.00</w:t>
            </w:r>
          </w:p>
        </w:tc>
        <w:tc>
          <w:tcPr>
            <w:tcW w:w="2270" w:type="dxa"/>
          </w:tcPr>
          <w:p w14:paraId="708D2FE2" w14:textId="77777777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55E96" w14:textId="788C11BC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52.50</w:t>
            </w:r>
          </w:p>
        </w:tc>
      </w:tr>
      <w:tr w:rsidR="00A61364" w14:paraId="147C0F6C" w14:textId="0A8D242F" w:rsidTr="00A61364">
        <w:trPr>
          <w:trHeight w:val="720"/>
          <w:jc w:val="center"/>
        </w:trPr>
        <w:tc>
          <w:tcPr>
            <w:tcW w:w="2066" w:type="dxa"/>
            <w:vAlign w:val="center"/>
          </w:tcPr>
          <w:p w14:paraId="54BE7618" w14:textId="1D0E88E2" w:rsidR="00A61364" w:rsidRDefault="00A61364" w:rsidP="00F131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JP</w:t>
            </w:r>
          </w:p>
        </w:tc>
        <w:tc>
          <w:tcPr>
            <w:tcW w:w="2270" w:type="dxa"/>
            <w:vAlign w:val="center"/>
          </w:tcPr>
          <w:p w14:paraId="29C56337" w14:textId="3BE55455" w:rsidR="00A61364" w:rsidRDefault="00A61364" w:rsidP="00B4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47.50</w:t>
            </w:r>
          </w:p>
        </w:tc>
        <w:tc>
          <w:tcPr>
            <w:tcW w:w="2270" w:type="dxa"/>
          </w:tcPr>
          <w:p w14:paraId="30F72FE7" w14:textId="77777777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1558D" w14:textId="676FB849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56.00</w:t>
            </w:r>
          </w:p>
        </w:tc>
        <w:tc>
          <w:tcPr>
            <w:tcW w:w="2270" w:type="dxa"/>
          </w:tcPr>
          <w:p w14:paraId="51B08601" w14:textId="77777777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B4718" w14:textId="7BDAE185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56.00</w:t>
            </w:r>
          </w:p>
        </w:tc>
      </w:tr>
      <w:tr w:rsidR="00A61364" w14:paraId="5B9AD499" w14:textId="3A6DFFCC" w:rsidTr="00A61364">
        <w:trPr>
          <w:trHeight w:val="720"/>
          <w:jc w:val="center"/>
        </w:trPr>
        <w:tc>
          <w:tcPr>
            <w:tcW w:w="2066" w:type="dxa"/>
            <w:vAlign w:val="center"/>
          </w:tcPr>
          <w:p w14:paraId="77D692CA" w14:textId="7F138E5D" w:rsidR="00A61364" w:rsidRPr="0056533C" w:rsidRDefault="00A61364" w:rsidP="00F131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ML</w:t>
            </w:r>
          </w:p>
        </w:tc>
        <w:tc>
          <w:tcPr>
            <w:tcW w:w="2270" w:type="dxa"/>
            <w:vAlign w:val="center"/>
          </w:tcPr>
          <w:p w14:paraId="7DCA37AE" w14:textId="594A17CC" w:rsidR="00A61364" w:rsidRPr="002660DE" w:rsidRDefault="00A61364" w:rsidP="00B4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C374C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2270" w:type="dxa"/>
          </w:tcPr>
          <w:p w14:paraId="725C3A2F" w14:textId="77777777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8F8F4" w14:textId="018EFDCE" w:rsidR="00A61364" w:rsidRDefault="002C374C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52.00</w:t>
            </w:r>
          </w:p>
        </w:tc>
        <w:tc>
          <w:tcPr>
            <w:tcW w:w="2270" w:type="dxa"/>
          </w:tcPr>
          <w:p w14:paraId="106B532B" w14:textId="77777777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FC71F" w14:textId="35561085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66.00</w:t>
            </w:r>
          </w:p>
        </w:tc>
      </w:tr>
      <w:tr w:rsidR="00A61364" w14:paraId="1192B225" w14:textId="416DFDFA" w:rsidTr="00A61364">
        <w:trPr>
          <w:trHeight w:val="720"/>
          <w:jc w:val="center"/>
        </w:trPr>
        <w:tc>
          <w:tcPr>
            <w:tcW w:w="2066" w:type="dxa"/>
            <w:vAlign w:val="center"/>
          </w:tcPr>
          <w:p w14:paraId="01696EE9" w14:textId="1889D08F" w:rsidR="00A61364" w:rsidRPr="0056533C" w:rsidRDefault="00A61364" w:rsidP="00F131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WW</w:t>
            </w:r>
          </w:p>
        </w:tc>
        <w:tc>
          <w:tcPr>
            <w:tcW w:w="2270" w:type="dxa"/>
            <w:vAlign w:val="center"/>
          </w:tcPr>
          <w:p w14:paraId="44D09937" w14:textId="09829C08" w:rsidR="00A61364" w:rsidRPr="002660DE" w:rsidRDefault="00A61364" w:rsidP="00B4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44.00</w:t>
            </w:r>
          </w:p>
        </w:tc>
        <w:tc>
          <w:tcPr>
            <w:tcW w:w="2270" w:type="dxa"/>
          </w:tcPr>
          <w:p w14:paraId="75500952" w14:textId="77777777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90642" w14:textId="4DAEF149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59.00</w:t>
            </w:r>
          </w:p>
        </w:tc>
        <w:tc>
          <w:tcPr>
            <w:tcW w:w="2270" w:type="dxa"/>
          </w:tcPr>
          <w:p w14:paraId="2E6A0411" w14:textId="77777777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1FC17" w14:textId="23066919" w:rsidR="00A61364" w:rsidRDefault="00A61364" w:rsidP="00A6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46.00</w:t>
            </w:r>
          </w:p>
        </w:tc>
      </w:tr>
      <w:tr w:rsidR="00A61364" w:rsidRPr="000C468C" w14:paraId="7827F0CC" w14:textId="4A523B7D" w:rsidTr="00A61364">
        <w:trPr>
          <w:trHeight w:val="720"/>
          <w:jc w:val="center"/>
        </w:trPr>
        <w:tc>
          <w:tcPr>
            <w:tcW w:w="2066" w:type="dxa"/>
            <w:shd w:val="clear" w:color="auto" w:fill="000000" w:themeFill="text1"/>
            <w:vAlign w:val="center"/>
          </w:tcPr>
          <w:p w14:paraId="4312F1D3" w14:textId="529ABC8C" w:rsidR="00A61364" w:rsidRPr="000C468C" w:rsidRDefault="00A61364" w:rsidP="0060093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0C468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Average Scores</w:t>
            </w:r>
          </w:p>
        </w:tc>
        <w:tc>
          <w:tcPr>
            <w:tcW w:w="2270" w:type="dxa"/>
            <w:shd w:val="clear" w:color="auto" w:fill="000000" w:themeFill="text1"/>
            <w:vAlign w:val="center"/>
          </w:tcPr>
          <w:p w14:paraId="3FA02169" w14:textId="77777777" w:rsidR="00A61364" w:rsidRDefault="00A61364" w:rsidP="008C41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8D3FBE6" w14:textId="61B59897" w:rsidR="00A61364" w:rsidRPr="000C468C" w:rsidRDefault="00A61364" w:rsidP="008C41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47.</w:t>
            </w:r>
            <w:r w:rsidR="002C374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40</w:t>
            </w:r>
          </w:p>
        </w:tc>
        <w:tc>
          <w:tcPr>
            <w:tcW w:w="2270" w:type="dxa"/>
            <w:shd w:val="clear" w:color="auto" w:fill="000000" w:themeFill="text1"/>
          </w:tcPr>
          <w:p w14:paraId="76B3B5AE" w14:textId="77777777" w:rsidR="00A61364" w:rsidRDefault="00A61364" w:rsidP="008C41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ED8CD16" w14:textId="1EEA2A79" w:rsidR="002C374C" w:rsidRDefault="002C374C" w:rsidP="008C41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59.25</w:t>
            </w:r>
          </w:p>
        </w:tc>
        <w:tc>
          <w:tcPr>
            <w:tcW w:w="2270" w:type="dxa"/>
            <w:shd w:val="clear" w:color="auto" w:fill="000000" w:themeFill="text1"/>
          </w:tcPr>
          <w:p w14:paraId="7494EF1C" w14:textId="77777777" w:rsidR="00A61364" w:rsidRDefault="00A61364" w:rsidP="008C41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DF64997" w14:textId="508A735D" w:rsidR="00A61364" w:rsidRDefault="00A61364" w:rsidP="008C41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55.13</w:t>
            </w:r>
          </w:p>
        </w:tc>
      </w:tr>
    </w:tbl>
    <w:p w14:paraId="4B7469AA" w14:textId="77777777" w:rsidR="0067183C" w:rsidRDefault="0067183C" w:rsidP="00BF7D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B3013" w14:textId="77777777" w:rsidR="00774B6C" w:rsidRDefault="00774B6C" w:rsidP="00BF7D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E209A" w14:textId="1E129F42" w:rsidR="00BF7D41" w:rsidRPr="00FE5B98" w:rsidRDefault="00BF7D41" w:rsidP="00BF7D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B98">
        <w:rPr>
          <w:rFonts w:ascii="Times New Roman" w:hAnsi="Times New Roman" w:cs="Times New Roman"/>
          <w:b/>
          <w:bCs/>
          <w:sz w:val="24"/>
          <w:szCs w:val="24"/>
        </w:rPr>
        <w:t>Award Recommendation</w:t>
      </w:r>
    </w:p>
    <w:p w14:paraId="14A1502B" w14:textId="18713356" w:rsidR="0067183C" w:rsidRDefault="00521E42" w:rsidP="0067183C">
      <w:pPr>
        <w:jc w:val="both"/>
        <w:rPr>
          <w:rFonts w:ascii="Times New Roman" w:hAnsi="Times New Roman" w:cs="Times New Roman"/>
          <w:sz w:val="24"/>
          <w:szCs w:val="24"/>
        </w:rPr>
      </w:pPr>
      <w:r w:rsidRPr="00FE5B98">
        <w:rPr>
          <w:rFonts w:ascii="Times New Roman" w:hAnsi="Times New Roman" w:cs="Times New Roman"/>
          <w:sz w:val="24"/>
          <w:szCs w:val="24"/>
        </w:rPr>
        <w:t xml:space="preserve">It is the recommendation of the </w:t>
      </w:r>
      <w:r w:rsidR="0064626C">
        <w:rPr>
          <w:rFonts w:ascii="Times New Roman" w:hAnsi="Times New Roman" w:cs="Times New Roman"/>
          <w:sz w:val="24"/>
          <w:szCs w:val="24"/>
        </w:rPr>
        <w:t>evaluating</w:t>
      </w:r>
      <w:r w:rsidRPr="00FE5B98">
        <w:rPr>
          <w:rFonts w:ascii="Times New Roman" w:hAnsi="Times New Roman" w:cs="Times New Roman"/>
          <w:sz w:val="24"/>
          <w:szCs w:val="24"/>
        </w:rPr>
        <w:t xml:space="preserve"> committee to award the contract to </w:t>
      </w:r>
      <w:r w:rsidR="002C374C">
        <w:rPr>
          <w:rFonts w:ascii="Times New Roman" w:hAnsi="Times New Roman" w:cs="Times New Roman"/>
          <w:sz w:val="24"/>
          <w:szCs w:val="24"/>
        </w:rPr>
        <w:t>Rutgers University</w:t>
      </w:r>
      <w:r w:rsidR="0064626C">
        <w:rPr>
          <w:rFonts w:ascii="Times New Roman" w:hAnsi="Times New Roman" w:cs="Times New Roman"/>
          <w:sz w:val="24"/>
          <w:szCs w:val="24"/>
        </w:rPr>
        <w:t xml:space="preserve"> as outlined in the original RFP</w:t>
      </w:r>
      <w:r w:rsidR="00BF7D41" w:rsidRPr="00FE5B98">
        <w:rPr>
          <w:rFonts w:ascii="Times New Roman" w:hAnsi="Times New Roman" w:cs="Times New Roman"/>
          <w:sz w:val="24"/>
          <w:szCs w:val="24"/>
        </w:rPr>
        <w:t xml:space="preserve">.  </w:t>
      </w:r>
      <w:r w:rsidR="0067183C" w:rsidRPr="007A7863">
        <w:rPr>
          <w:rFonts w:ascii="Times New Roman" w:hAnsi="Times New Roman" w:cs="Times New Roman"/>
          <w:sz w:val="24"/>
          <w:szCs w:val="24"/>
        </w:rPr>
        <w:t>All proposals were carefully and complet</w:t>
      </w:r>
      <w:r w:rsidR="0067183C">
        <w:rPr>
          <w:rFonts w:ascii="Times New Roman" w:hAnsi="Times New Roman" w:cs="Times New Roman"/>
          <w:sz w:val="24"/>
          <w:szCs w:val="24"/>
        </w:rPr>
        <w:t>ely</w:t>
      </w:r>
      <w:r w:rsidR="0067183C" w:rsidRPr="007A7863">
        <w:rPr>
          <w:rFonts w:ascii="Times New Roman" w:hAnsi="Times New Roman" w:cs="Times New Roman"/>
          <w:sz w:val="24"/>
          <w:szCs w:val="24"/>
        </w:rPr>
        <w:t xml:space="preserve"> reviewed. Above are the results of individual and independent scoring by each team member</w:t>
      </w:r>
      <w:r w:rsidR="0067183C">
        <w:rPr>
          <w:rFonts w:ascii="Times New Roman" w:hAnsi="Times New Roman" w:cs="Times New Roman"/>
          <w:sz w:val="24"/>
          <w:szCs w:val="24"/>
        </w:rPr>
        <w:t>.</w:t>
      </w:r>
    </w:p>
    <w:p w14:paraId="7D326637" w14:textId="77777777" w:rsidR="00111EE8" w:rsidRDefault="00111EE8" w:rsidP="0067183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095" w:type="dxa"/>
        <w:jc w:val="center"/>
        <w:tblLook w:val="04A0" w:firstRow="1" w:lastRow="0" w:firstColumn="1" w:lastColumn="0" w:noHBand="0" w:noVBand="1"/>
      </w:tblPr>
      <w:tblGrid>
        <w:gridCol w:w="5035"/>
        <w:gridCol w:w="3060"/>
      </w:tblGrid>
      <w:tr w:rsidR="00111EE8" w:rsidRPr="00FE5B98" w14:paraId="37883FD0" w14:textId="77777777" w:rsidTr="00111EE8">
        <w:trPr>
          <w:jc w:val="center"/>
        </w:trPr>
        <w:tc>
          <w:tcPr>
            <w:tcW w:w="5035" w:type="dxa"/>
            <w:shd w:val="clear" w:color="auto" w:fill="000000" w:themeFill="text1"/>
          </w:tcPr>
          <w:p w14:paraId="6A360031" w14:textId="37EBDE11" w:rsidR="00111EE8" w:rsidRPr="005815F6" w:rsidRDefault="00111EE8" w:rsidP="00E027C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PROFESSIONAL DEVELOPMENT</w:t>
            </w:r>
          </w:p>
        </w:tc>
        <w:tc>
          <w:tcPr>
            <w:tcW w:w="3060" w:type="dxa"/>
            <w:shd w:val="clear" w:color="auto" w:fill="000000" w:themeFill="text1"/>
          </w:tcPr>
          <w:p w14:paraId="34B24EDD" w14:textId="24D25F21" w:rsidR="00111EE8" w:rsidRPr="00E8044C" w:rsidRDefault="00111EE8" w:rsidP="00E027CA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RATES</w:t>
            </w:r>
          </w:p>
        </w:tc>
      </w:tr>
      <w:tr w:rsidR="00111EE8" w:rsidRPr="00FE5B98" w14:paraId="574FEB7F" w14:textId="77777777" w:rsidTr="00111EE8">
        <w:trPr>
          <w:jc w:val="center"/>
        </w:trPr>
        <w:tc>
          <w:tcPr>
            <w:tcW w:w="5035" w:type="dxa"/>
          </w:tcPr>
          <w:p w14:paraId="0104EC01" w14:textId="0DC9B529" w:rsidR="00111EE8" w:rsidRPr="005815F6" w:rsidRDefault="00111EE8" w:rsidP="00E0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Full Day In-Person Training</w:t>
            </w:r>
          </w:p>
        </w:tc>
        <w:tc>
          <w:tcPr>
            <w:tcW w:w="3060" w:type="dxa"/>
          </w:tcPr>
          <w:p w14:paraId="34DE82E2" w14:textId="53017C77" w:rsidR="00111EE8" w:rsidRPr="005815F6" w:rsidRDefault="00111EE8" w:rsidP="00E0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D23FB">
              <w:rPr>
                <w:rFonts w:ascii="Times New Roman" w:hAnsi="Times New Roman" w:cs="Times New Roman"/>
              </w:rPr>
              <w:t>2,750.00</w:t>
            </w:r>
          </w:p>
        </w:tc>
      </w:tr>
      <w:tr w:rsidR="00111EE8" w:rsidRPr="00FE5B98" w14:paraId="38F85A27" w14:textId="77777777" w:rsidTr="00111EE8">
        <w:trPr>
          <w:jc w:val="center"/>
        </w:trPr>
        <w:tc>
          <w:tcPr>
            <w:tcW w:w="5035" w:type="dxa"/>
          </w:tcPr>
          <w:p w14:paraId="300A52D9" w14:textId="2EE7BD8E" w:rsidR="00111EE8" w:rsidRDefault="00111EE8" w:rsidP="00E02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Half day In-Person Training</w:t>
            </w:r>
          </w:p>
        </w:tc>
        <w:tc>
          <w:tcPr>
            <w:tcW w:w="3060" w:type="dxa"/>
          </w:tcPr>
          <w:p w14:paraId="1719199D" w14:textId="5F7404D3" w:rsidR="00111EE8" w:rsidRDefault="006D23FB" w:rsidP="00E02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$1,375.00</w:t>
            </w:r>
          </w:p>
        </w:tc>
      </w:tr>
      <w:tr w:rsidR="00111EE8" w:rsidRPr="00FE5B98" w14:paraId="72729DF3" w14:textId="77777777" w:rsidTr="00111EE8">
        <w:trPr>
          <w:jc w:val="center"/>
        </w:trPr>
        <w:tc>
          <w:tcPr>
            <w:tcW w:w="5035" w:type="dxa"/>
          </w:tcPr>
          <w:p w14:paraId="2AA753E6" w14:textId="573CC446" w:rsidR="00111EE8" w:rsidRDefault="00111EE8" w:rsidP="00E02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Virtual Training</w:t>
            </w:r>
          </w:p>
        </w:tc>
        <w:tc>
          <w:tcPr>
            <w:tcW w:w="3060" w:type="dxa"/>
          </w:tcPr>
          <w:p w14:paraId="704A6E33" w14:textId="2845EF9B" w:rsidR="00111EE8" w:rsidRDefault="006D23FB" w:rsidP="00E02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$2,500.00</w:t>
            </w:r>
          </w:p>
        </w:tc>
      </w:tr>
      <w:tr w:rsidR="00111EE8" w:rsidRPr="00FE5B98" w14:paraId="51CE859F" w14:textId="77777777" w:rsidTr="00111EE8">
        <w:trPr>
          <w:jc w:val="center"/>
        </w:trPr>
        <w:tc>
          <w:tcPr>
            <w:tcW w:w="5035" w:type="dxa"/>
          </w:tcPr>
          <w:p w14:paraId="32226432" w14:textId="530E95D7" w:rsidR="00111EE8" w:rsidRDefault="00111EE8" w:rsidP="00E02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Services Hourly Rate</w:t>
            </w:r>
          </w:p>
        </w:tc>
        <w:tc>
          <w:tcPr>
            <w:tcW w:w="3060" w:type="dxa"/>
          </w:tcPr>
          <w:p w14:paraId="6C6AA1CF" w14:textId="2589AD91" w:rsidR="00111EE8" w:rsidRDefault="006D23FB" w:rsidP="00E02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$500.00</w:t>
            </w:r>
          </w:p>
        </w:tc>
      </w:tr>
    </w:tbl>
    <w:p w14:paraId="365807F5" w14:textId="77777777" w:rsidR="00111EE8" w:rsidRDefault="00111EE8" w:rsidP="0067183C">
      <w:pPr>
        <w:jc w:val="both"/>
      </w:pPr>
    </w:p>
    <w:p w14:paraId="6188FA40" w14:textId="77777777" w:rsidR="0067183C" w:rsidRDefault="0067183C" w:rsidP="00FE5B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AAE07" w14:textId="112C2A6F" w:rsidR="00333A00" w:rsidRPr="00FE5B98" w:rsidRDefault="00FE5B98" w:rsidP="00FE5B98">
      <w:pPr>
        <w:jc w:val="both"/>
        <w:rPr>
          <w:rFonts w:ascii="Times New Roman" w:hAnsi="Times New Roman" w:cs="Times New Roman"/>
          <w:sz w:val="24"/>
          <w:szCs w:val="24"/>
        </w:rPr>
      </w:pPr>
      <w:r w:rsidRPr="00FE5B9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term of the contract shall be </w:t>
      </w:r>
      <w:r w:rsidR="00774B6C">
        <w:rPr>
          <w:rFonts w:ascii="Times New Roman" w:hAnsi="Times New Roman" w:cs="Times New Roman"/>
          <w:sz w:val="24"/>
          <w:szCs w:val="24"/>
        </w:rPr>
        <w:t xml:space="preserve">from </w:t>
      </w:r>
      <w:r w:rsidR="006D23FB">
        <w:rPr>
          <w:rFonts w:ascii="Times New Roman" w:hAnsi="Times New Roman" w:cs="Times New Roman"/>
          <w:sz w:val="24"/>
          <w:szCs w:val="24"/>
        </w:rPr>
        <w:t>January 19, 2026</w:t>
      </w:r>
      <w:r w:rsidR="00B53643">
        <w:rPr>
          <w:rFonts w:ascii="Times New Roman" w:hAnsi="Times New Roman" w:cs="Times New Roman"/>
          <w:sz w:val="24"/>
          <w:szCs w:val="24"/>
        </w:rPr>
        <w:t>,</w:t>
      </w:r>
      <w:r w:rsidR="00774B6C">
        <w:rPr>
          <w:rFonts w:ascii="Times New Roman" w:hAnsi="Times New Roman" w:cs="Times New Roman"/>
          <w:sz w:val="24"/>
          <w:szCs w:val="24"/>
        </w:rPr>
        <w:t xml:space="preserve"> through </w:t>
      </w:r>
      <w:r w:rsidR="00B53643">
        <w:rPr>
          <w:rFonts w:ascii="Times New Roman" w:hAnsi="Times New Roman" w:cs="Times New Roman"/>
          <w:sz w:val="24"/>
          <w:szCs w:val="24"/>
        </w:rPr>
        <w:t xml:space="preserve">June </w:t>
      </w:r>
      <w:r w:rsidR="006D23FB">
        <w:rPr>
          <w:rFonts w:ascii="Times New Roman" w:hAnsi="Times New Roman" w:cs="Times New Roman"/>
          <w:sz w:val="24"/>
          <w:szCs w:val="24"/>
        </w:rPr>
        <w:t>30</w:t>
      </w:r>
      <w:r w:rsidR="00B53643">
        <w:rPr>
          <w:rFonts w:ascii="Times New Roman" w:hAnsi="Times New Roman" w:cs="Times New Roman"/>
          <w:sz w:val="24"/>
          <w:szCs w:val="24"/>
        </w:rPr>
        <w:t xml:space="preserve">, 2026, </w:t>
      </w:r>
      <w:r w:rsidR="00B53643" w:rsidRPr="00B53643">
        <w:rPr>
          <w:rFonts w:ascii="Times New Roman" w:hAnsi="Times New Roman" w:cs="Times New Roman"/>
          <w:sz w:val="24"/>
          <w:szCs w:val="24"/>
        </w:rPr>
        <w:t>with two (2) one-year renewals, in accordance with the provisions of N.J.S.A. 18A:18A-42. Contract extensions are contingent upon the availability and appropriation of funds.</w:t>
      </w:r>
    </w:p>
    <w:sectPr w:rsidR="00333A00" w:rsidRPr="00FE5B98" w:rsidSect="0067183C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0D"/>
    <w:rsid w:val="00052518"/>
    <w:rsid w:val="000725D4"/>
    <w:rsid w:val="000C468C"/>
    <w:rsid w:val="00111EE8"/>
    <w:rsid w:val="001F38C3"/>
    <w:rsid w:val="002B1DF8"/>
    <w:rsid w:val="002C374C"/>
    <w:rsid w:val="0030074A"/>
    <w:rsid w:val="00333A00"/>
    <w:rsid w:val="00476355"/>
    <w:rsid w:val="00521E42"/>
    <w:rsid w:val="0056533C"/>
    <w:rsid w:val="005703DE"/>
    <w:rsid w:val="00577AE8"/>
    <w:rsid w:val="005C2AFB"/>
    <w:rsid w:val="005D53DF"/>
    <w:rsid w:val="005F6971"/>
    <w:rsid w:val="00600939"/>
    <w:rsid w:val="00606657"/>
    <w:rsid w:val="0064626C"/>
    <w:rsid w:val="0067183C"/>
    <w:rsid w:val="0067228C"/>
    <w:rsid w:val="0069160D"/>
    <w:rsid w:val="006D23FB"/>
    <w:rsid w:val="00774B6C"/>
    <w:rsid w:val="0079135B"/>
    <w:rsid w:val="007C2D96"/>
    <w:rsid w:val="00845DC1"/>
    <w:rsid w:val="008555D8"/>
    <w:rsid w:val="008A7094"/>
    <w:rsid w:val="008C41D3"/>
    <w:rsid w:val="008F7377"/>
    <w:rsid w:val="009738AB"/>
    <w:rsid w:val="00A1477C"/>
    <w:rsid w:val="00A61364"/>
    <w:rsid w:val="00A637D5"/>
    <w:rsid w:val="00AC2AA8"/>
    <w:rsid w:val="00B52E67"/>
    <w:rsid w:val="00B53643"/>
    <w:rsid w:val="00BC2E2F"/>
    <w:rsid w:val="00BF7D41"/>
    <w:rsid w:val="00C04763"/>
    <w:rsid w:val="00C13AFE"/>
    <w:rsid w:val="00CF733D"/>
    <w:rsid w:val="00D7661D"/>
    <w:rsid w:val="00E1066B"/>
    <w:rsid w:val="00E56855"/>
    <w:rsid w:val="00EE14E1"/>
    <w:rsid w:val="00EE55BC"/>
    <w:rsid w:val="00F13148"/>
    <w:rsid w:val="00F43C21"/>
    <w:rsid w:val="00F75CFC"/>
    <w:rsid w:val="00FE1E79"/>
    <w:rsid w:val="00FE5B98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B7A8"/>
  <w15:chartTrackingRefBased/>
  <w15:docId w15:val="{B60ACFD7-BD87-4C16-93B6-E0C012F0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16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1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33A00"/>
    <w:pPr>
      <w:jc w:val="both"/>
    </w:pPr>
    <w:rPr>
      <w:rFonts w:ascii="Arial" w:eastAsia="Times New Roman" w:hAnsi="Arial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333A00"/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hclc.org/chc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218</Words>
  <Characters>1292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Frew, Christine</dc:creator>
  <cp:keywords/>
  <dc:description/>
  <cp:lastModifiedBy>Kee, Jasmine</cp:lastModifiedBy>
  <cp:revision>3</cp:revision>
  <dcterms:created xsi:type="dcterms:W3CDTF">2026-01-09T13:16:00Z</dcterms:created>
  <dcterms:modified xsi:type="dcterms:W3CDTF">2026-01-09T13:32:00Z</dcterms:modified>
</cp:coreProperties>
</file>