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Second Grade Syllabus-Outline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highlight w:val="white"/>
        </w:rPr>
      </w:pPr>
      <w:bookmarkStart w:colFirst="0" w:colLast="0" w:name="_x9x0beacwjgv" w:id="1"/>
      <w:bookmarkEnd w:id="1"/>
      <w:r w:rsidDel="00000000" w:rsidR="00000000" w:rsidRPr="00000000">
        <w:rPr>
          <w:b w:val="1"/>
          <w:bCs w:val="1"/>
          <w:sz w:val="28"/>
          <w:szCs w:val="28"/>
          <w:highlight w:val="white"/>
          <w:rtl w:val="0"/>
        </w:rPr>
        <w:t xml:space="preserve">Ms. Winger, Mrs. Jandres, Mrs. Craft, Mrs. Wood- Corinth Elementary   </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Insects All Around</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the characteristics of insects, the life cycles of insects, how insects can be categorized as solitary or social, and how insects are viewed as both helpful and harmful. For example, students will learn how insects are important to the process of pollination and in the production of honey, some cosmetics, and even medicines. This domain will lay the foundation for further study of the life cycles, habitats, and classifications of insects and other animals.</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The U.S. Civil War</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lays the foundation for more in-depth study of a critical period in American history in later grades. Students begin to learn about the controversy between the North and the South over slavery and become familiar with the achievements of key historical figures during this time, including Harriet Tubman, Clara Barton, Abraham Lincoln, Ulysses S. Grant, and Robert E. Lee. Students will incorporate key vocabulary as they write Civil War journal entries throughout the domain.</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09: The Human Body: Building Blocks and Nutrition</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domain, students will explore a number of topics related to the human body, beginning with the importance of cells as the building blocks of all life on Earth. Students will learn about organs and body systems, with a focus on the digestive and excretory systems. Students will also learn about Anton van Leeuwenhoek and his pioneering work with the microscope, which led to the discovery of tiny one-celled bacteria. The remainder of this domain focuses on the importance of good nutrition and how to make good choices in order to eat a well-balanced diet.</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Journeys to America: Land of Opportunity</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explore the idea of e pluribus unum and the importance of immigration in the history of the United States, with a focus on the great wave of immigrants from Europe between 1880 and 1920. By examining the reasons people immigrated and why they settled in particular cities or regions, students may make connections to their own family history and cultural background. In learning about citizenship, students are introduced to basic knowledge about the Constitution and the Bill of Rights and how these documents helped make the United States a land of opportunity.</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11: Fighting for a Cause</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will introduce students to several ordinary people who stood up for what they believed in and who fought for a cause, even when faced with immeasurable odds. These key historical figures devoted their lives to various causes such as the abolition of slavery, the right for women to vote, and the welfare of migrant workers. They provide students with great examples of the power of perseverance and choosing nonviolent pathways to create awareness and momentum for a cause. Students will understand the connection between ideas and actions, and how ordinary people can create extraordinary change.</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12: Up, Up, and Away: The Age of Aviation</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exploring the history of aviation, students will hear the stories of early aviators, such as the Montgolfier brothers, the Wright brothers, Aída de Acosta, and Amelia Earhart. They will study the science of flight, including the physics concept of lift, and will research the social impacts of flight on the world. Students will increase their understanding of the research process, including brainstorming, asking questions, gathering information from texts, and writing about what they have learned in order to present informational texts to be displayed in an Aviators Hall of Fame.</w:t>
      </w:r>
    </w:p>
    <w:p w:rsidR="00000000" w:rsidDel="00000000" w:rsidP="00000000" w:rsidRDefault="00000000" w:rsidRPr="00000000" w14:paraId="00000015">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6">
      <w:pPr>
        <w:numPr>
          <w:ilvl w:val="1"/>
          <w:numId w:val="1"/>
        </w:numPr>
        <w:spacing w:after="0" w:afterAutospacing="0" w:before="0" w:beforeAutospacing="0" w:line="240" w:lineRule="auto"/>
        <w:ind w:left="1440" w:hanging="360"/>
        <w:rPr>
          <w:b w:val="1"/>
          <w:bCs w:val="1"/>
          <w:sz w:val="24"/>
          <w:szCs w:val="24"/>
        </w:rPr>
      </w:pPr>
      <w:r w:rsidDel="00000000" w:rsidR="00000000" w:rsidRPr="00000000">
        <w:rPr>
          <w:sz w:val="24"/>
          <w:szCs w:val="24"/>
          <w:rtl w:val="0"/>
        </w:rPr>
        <w:t xml:space="preserve">Module 5: Addition and Subtraction Within 1,000 with Word Problems to 1,000</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adding and subtracting within 1,000, including connecting concrete models, drawings, and strategies based on place value; properties of operations; and the relationship between addition and subtraction to written methods.</w:t>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Foundations of Multiplication, Division, and Area</w:t>
      </w:r>
      <w:r w:rsidDel="00000000" w:rsidR="00000000" w:rsidRPr="00000000">
        <w:rPr>
          <w:rtl w:val="0"/>
        </w:rPr>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color w:val="222222"/>
          <w:sz w:val="24"/>
          <w:szCs w:val="24"/>
          <w:rtl w:val="0"/>
        </w:rPr>
        <w:t xml:space="preserve"> This module bundles student expectations that address contextual multiplication and division situations, the area of rectangles using concrete models of square units, and the meaning of even and odd numbers.</w:t>
      </w:r>
      <w:r w:rsidDel="00000000" w:rsidR="00000000" w:rsidRPr="00000000">
        <w:rPr>
          <w:rtl w:val="0"/>
        </w:rPr>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7: Problem Solving with Length, Money, and Data</w:t>
      </w:r>
      <w:r w:rsidDel="00000000" w:rsidR="00000000" w:rsidRPr="00000000">
        <w:rPr>
          <w:rtl w:val="0"/>
        </w:rPr>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adding and subtracting to solve problems involving length, money, and data. This module also addresses various financial literacy concepts. </w:t>
      </w:r>
    </w:p>
    <w:p w:rsidR="00000000" w:rsidDel="00000000" w:rsidP="00000000" w:rsidRDefault="00000000" w:rsidRPr="00000000" w14:paraId="0000001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8: Time, Shapes, and Fractions as Equal Parts of Shapes</w:t>
      </w:r>
    </w:p>
    <w:p w:rsidR="00000000" w:rsidDel="00000000" w:rsidP="00000000" w:rsidRDefault="00000000" w:rsidRPr="00000000" w14:paraId="0000001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understandings of two- and three-dimensional figures, fractions as equal parts of a whole, and time to the nearest minute.</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Investigating Weather and Earth’s Changes</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the different scientific investigations and effects of weather. Students are expected to start by measuring, recording, and graphing daily weather, including temperature and precipitation. Additionally, students will investigate different types of severe weather, such as hurricanes, tornados, and floods. Students will need to identify areas and regions in which these weather events occur. Finally, students will connect their knowledge of weather to their investigations and descriptions of wind and water moving soil and rock particles across Earth’s surface. Examples include wind blowing sand into dunes on the beach and rivers carrying rocks as it flows. </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Investigating Resources</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Earth’s natural resources and human attempts to conserve them. Students distinguish between which resources are natural, come from the Earth, and are manmade, produced by people. Students will then be expected to describe how we can limit the effect we have on Earth’s resources by conserving and properly disposing of materials. This unit will be a continuation of student’s learning about conservation and introduce the idea of reducing, reusing, and recycling of paper, plastic, and metal.</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07: Investigating Organisms and Environments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revolve around living things depending upon one another and their environment. Students will describe how plants and animals rely on the physical characteristics of an environment to survive. In addition, students will describe and demonstrate how living things depend on each other by creating food chains and identify producers and consumers. Students will explain and demonstrate how plants depend on other living and nonliving things to pollinate and disperse their seeds.</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Investigating Structures and Behaviors of Organisms</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Learning Objectives: This unit bundles student expectations that revolve around organisms meeting their needs through structures, behaviors, and their environment. Students start by exploring the basic structures and functionality of plant parts, including roots, stems, leaves, flowers, fruits, and seeds. Students will then record and compare how the structures and behaviors of animals help them to survive. These standards pair well, and students can explore plants and animals in the same environment and how they meet their needs. Finally, students will record and compare group behaviors in animals and how that contributes to their survival.</w:t>
      </w:r>
    </w:p>
    <w:p w:rsidR="00000000" w:rsidDel="00000000" w:rsidP="00000000" w:rsidRDefault="00000000" w:rsidRPr="00000000" w14:paraId="00000027">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09: Investigating Life Cycles</w:t>
      </w:r>
    </w:p>
    <w:p w:rsidR="00000000" w:rsidDel="00000000" w:rsidP="00000000" w:rsidRDefault="00000000" w:rsidRPr="00000000" w14:paraId="00000028">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objects that students can directly observe in the sky. While students will observe objects that are in space, the vantage point is from the surface of the Earth. They describe the Sun as a star that provides light and heat. Students are expected to explain that the Moon reflects light from the Sun, rather than producing its own light. Additionally, they will observe other objects visible in the sky using tools, such as telescopes. They will compare how objects appear different with and without the use of these tools.</w:t>
      </w:r>
    </w:p>
    <w:p w:rsidR="00000000" w:rsidDel="00000000" w:rsidP="00000000" w:rsidRDefault="00000000" w:rsidRPr="00000000" w14:paraId="00000029">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04: Interacting with the Environment</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geography and the interaction of humans with the physical environment. Communities can be defined by a physical spatial locale as well as by the people inhabiting that locale. It is important for students to practice spatial reasoning skills using maps and globes for developing an understanding of geography and having a mental map of the world.  Additionally, studying human environmental interactions is important for understanding how geography impacts people and how people impact geography.</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Working in Our Community</w:t>
      </w:r>
    </w:p>
    <w:p w:rsidR="00000000" w:rsidDel="00000000" w:rsidP="00000000" w:rsidRDefault="00000000" w:rsidRPr="00000000" w14:paraId="0000002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basics of a market economy characterized by free enterprise. Economics is a study of the choices made in relation to production, consumption, and distribution of goods and services. In a market economy characterized by free enterprise individuals have the freedom to make decisions related to production and consumption. Many factors influence how these decisions are made. Most significantly is the necessity to meet basic needs. An understanding of the role of producers and consumers is foundational to understanding how a market economy operates.</w:t>
      </w:r>
    </w:p>
    <w:p w:rsidR="00000000" w:rsidDel="00000000" w:rsidP="00000000" w:rsidRDefault="00000000" w:rsidRPr="00000000" w14:paraId="0000002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Celebrating Our Cultural Heritage</w:t>
      </w:r>
    </w:p>
    <w:p w:rsidR="00000000" w:rsidDel="00000000" w:rsidP="00000000" w:rsidRDefault="00000000" w:rsidRPr="00000000" w14:paraId="0000002F">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cultural celebrations. All communities express culture through art, literature, and celebrations. Individuals are members of a variety of communities, each with its own culture. Students are a part of a school community culture, a local community culture, the culture of Texas, culture of the United States, and possibly culture from where their ancestors migrated. Many groups have contributed to the mosaic of culture in Texas and in the United States. An examination of culture including the art produced in a community and the cultural celebrations of a community is important for understanding that culture unifies and distinguishes societies.  </w:t>
      </w:r>
    </w:p>
    <w:p w:rsidR="00000000" w:rsidDel="00000000" w:rsidP="00000000" w:rsidRDefault="00000000" w:rsidRPr="00000000" w14:paraId="00000030">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2">
      <w:pPr>
        <w:pStyle w:val="Heading2"/>
        <w:keepNext w:val="0"/>
        <w:keepLines w:val="0"/>
        <w:spacing w:after="80" w:lineRule="auto"/>
        <w:rPr>
          <w:sz w:val="20"/>
          <w:szCs w:val="20"/>
          <w:highlight w:val="yellow"/>
        </w:rPr>
      </w:pPr>
      <w:bookmarkStart w:colFirst="0" w:colLast="0" w:name="_vwwtz354sw4a" w:id="4"/>
      <w:bookmarkEnd w:id="4"/>
      <w:r w:rsidDel="00000000" w:rsidR="00000000" w:rsidRPr="00000000">
        <w:rPr>
          <w:sz w:val="24"/>
          <w:szCs w:val="24"/>
          <w:highlight w:val="white"/>
          <w:rtl w:val="0"/>
        </w:rPr>
        <w:t xml:space="preserve">Ms. Winger, Mrs. Jandres, Mrs. Craft, Mrs. Wood</w: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