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.36615562438965" w:lineRule="auto"/>
        <w:ind w:left="4725.323181152344" w:right="3956.064453125" w:firstLine="0"/>
        <w:jc w:val="center"/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78"/>
          <w:szCs w:val="78"/>
          <w:u w:val="none"/>
          <w:shd w:fill="auto" w:val="clear"/>
          <w:vertAlign w:val="baseline"/>
        </w:rPr>
      </w:pPr>
      <w:r w:rsidDel="00000000" w:rsidR="00000000" w:rsidRPr="00000000"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78"/>
          <w:szCs w:val="78"/>
          <w:u w:val="none"/>
          <w:shd w:fill="auto" w:val="clear"/>
          <w:vertAlign w:val="baseline"/>
          <w:rtl w:val="0"/>
        </w:rPr>
        <w:t xml:space="preserve">Introducción a  “Teaching 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050048828125" w:line="240" w:lineRule="auto"/>
        <w:ind w:left="0" w:right="4662.586669921875" w:firstLine="0"/>
        <w:jc w:val="right"/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78"/>
          <w:szCs w:val="78"/>
          <w:u w:val="none"/>
          <w:shd w:fill="auto" w:val="clear"/>
          <w:vertAlign w:val="baseline"/>
        </w:rPr>
      </w:pPr>
      <w:r w:rsidDel="00000000" w:rsidR="00000000" w:rsidRPr="00000000"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78"/>
          <w:szCs w:val="78"/>
          <w:u w:val="none"/>
          <w:shd w:fill="auto" w:val="clear"/>
          <w:vertAlign w:val="baseline"/>
          <w:rtl w:val="0"/>
        </w:rPr>
        <w:t xml:space="preserve">Strategies 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739990234375" w:line="240" w:lineRule="auto"/>
        <w:ind w:left="0" w:right="6029.83642578125" w:firstLine="0"/>
        <w:jc w:val="right"/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78"/>
          <w:szCs w:val="78"/>
          <w:u w:val="none"/>
          <w:shd w:fill="auto" w:val="clear"/>
          <w:vertAlign w:val="baseline"/>
        </w:rPr>
      </w:pPr>
      <w:r w:rsidDel="00000000" w:rsidR="00000000" w:rsidRPr="00000000"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78"/>
          <w:szCs w:val="78"/>
          <w:u w:val="none"/>
          <w:shd w:fill="auto" w:val="clear"/>
          <w:vertAlign w:val="baseline"/>
          <w:rtl w:val="0"/>
        </w:rPr>
        <w:t xml:space="preserve">Gold”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2.913818359375" w:line="240" w:lineRule="auto"/>
        <w:ind w:left="0" w:right="0" w:firstLine="0"/>
        <w:jc w:val="center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  <w:rtl w:val="0"/>
        </w:rPr>
        <w:t xml:space="preserve">Presentado por: 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8602294921875" w:line="240" w:lineRule="auto"/>
        <w:ind w:left="0" w:right="0" w:firstLine="0"/>
        <w:jc w:val="center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  <w:rtl w:val="0"/>
        </w:rPr>
        <w:t xml:space="preserve">Master Teachers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860076904296875" w:line="240" w:lineRule="auto"/>
        <w:ind w:left="5147.21155166626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  <w:rtl w:val="0"/>
        </w:rPr>
        <w:t xml:space="preserve">14 de enero de 2021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330.0185585021973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  <w:drawing>
          <wp:inline distB="19050" distT="19050" distL="19050" distR="19050">
            <wp:extent cx="4514849" cy="1000125"/>
            <wp:effectExtent b="0" l="0" r="0" t="0"/>
            <wp:docPr id="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14849" cy="1000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6.4459228515625" w:line="240" w:lineRule="auto"/>
        <w:ind w:left="4908.198184967041" w:right="0" w:firstLine="0"/>
        <w:jc w:val="left"/>
        <w:rPr>
          <w:rFonts w:ascii="Economica" w:cs="Economica" w:eastAsia="Economica" w:hAnsi="Economica"/>
          <w:b w:val="0"/>
          <w:i w:val="0"/>
          <w:smallCaps w:val="0"/>
          <w:strike w:val="0"/>
          <w:color w:val="000000"/>
          <w:sz w:val="84"/>
          <w:szCs w:val="84"/>
          <w:u w:val="none"/>
          <w:shd w:fill="auto" w:val="clear"/>
          <w:vertAlign w:val="baseline"/>
        </w:rPr>
      </w:pPr>
      <w:r w:rsidDel="00000000" w:rsidR="00000000" w:rsidRPr="00000000">
        <w:rPr>
          <w:rFonts w:ascii="Economica" w:cs="Economica" w:eastAsia="Economica" w:hAnsi="Economica"/>
          <w:b w:val="0"/>
          <w:i w:val="0"/>
          <w:smallCaps w:val="0"/>
          <w:strike w:val="0"/>
          <w:color w:val="000000"/>
          <w:sz w:val="84"/>
          <w:szCs w:val="84"/>
          <w:u w:val="none"/>
          <w:shd w:fill="auto" w:val="clear"/>
          <w:vertAlign w:val="baseline"/>
          <w:rtl w:val="0"/>
        </w:rPr>
        <w:t xml:space="preserve">“Teaching 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7198486328125" w:line="240" w:lineRule="auto"/>
        <w:ind w:left="4904.8381996154785" w:right="0" w:firstLine="0"/>
        <w:jc w:val="left"/>
        <w:rPr>
          <w:rFonts w:ascii="Economica" w:cs="Economica" w:eastAsia="Economica" w:hAnsi="Economica"/>
          <w:b w:val="0"/>
          <w:i w:val="0"/>
          <w:smallCaps w:val="0"/>
          <w:strike w:val="0"/>
          <w:color w:val="000000"/>
          <w:sz w:val="84"/>
          <w:szCs w:val="84"/>
          <w:u w:val="none"/>
          <w:shd w:fill="auto" w:val="clear"/>
          <w:vertAlign w:val="baseline"/>
        </w:rPr>
      </w:pPr>
      <w:r w:rsidDel="00000000" w:rsidR="00000000" w:rsidRPr="00000000">
        <w:rPr>
          <w:rFonts w:ascii="Economica" w:cs="Economica" w:eastAsia="Economica" w:hAnsi="Economica"/>
          <w:b w:val="0"/>
          <w:i w:val="0"/>
          <w:smallCaps w:val="0"/>
          <w:strike w:val="0"/>
          <w:color w:val="000000"/>
          <w:sz w:val="84"/>
          <w:szCs w:val="84"/>
          <w:u w:val="none"/>
          <w:shd w:fill="auto" w:val="clear"/>
          <w:vertAlign w:val="baseline"/>
          <w:rtl w:val="0"/>
        </w:rPr>
        <w:t xml:space="preserve">Strategies Gold”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9.345703125" w:line="240" w:lineRule="auto"/>
        <w:ind w:left="4483.44690322876" w:right="0" w:firstLine="0"/>
        <w:jc w:val="left"/>
        <w:rPr>
          <w:rFonts w:ascii="Economica" w:cs="Economica" w:eastAsia="Economica" w:hAnsi="Economica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Economica" w:cs="Economica" w:eastAsia="Economica" w:hAnsi="Economica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El sistema de evaluación de 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480255126953125" w:line="240" w:lineRule="auto"/>
        <w:ind w:left="4678.297061920166" w:right="0" w:firstLine="0"/>
        <w:jc w:val="left"/>
        <w:rPr>
          <w:rFonts w:ascii="Economica" w:cs="Economica" w:eastAsia="Economica" w:hAnsi="Economica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Economica" w:cs="Economica" w:eastAsia="Economica" w:hAnsi="Economica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niños en edad preescolar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9.7058296203613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88"/>
          <w:szCs w:val="88"/>
          <w:highlight w:val="black"/>
          <w:u w:val="none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88"/>
          <w:szCs w:val="88"/>
          <w:highlight w:val="black"/>
          <w:u w:val="none"/>
          <w:vertAlign w:val="baseline"/>
          <w:rtl w:val="0"/>
        </w:rPr>
        <w:t xml:space="preserve">AGENDA: 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8.372802734375" w:line="240" w:lineRule="auto"/>
        <w:ind w:left="637.8837013244629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54"/>
          <w:szCs w:val="54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54"/>
          <w:szCs w:val="54"/>
          <w:u w:val="none"/>
          <w:shd w:fill="auto" w:val="clear"/>
          <w:vertAlign w:val="baseline"/>
          <w:rtl w:val="0"/>
        </w:rPr>
        <w:t xml:space="preserve">¿Qué es TSG? 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8199462890625" w:line="277.666654586792" w:lineRule="auto"/>
        <w:ind w:left="1294.3458557128906" w:right="447.581787109375" w:hanging="656.4620971679688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54"/>
          <w:szCs w:val="54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54"/>
          <w:szCs w:val="54"/>
          <w:u w:val="none"/>
          <w:shd w:fill="auto" w:val="clear"/>
          <w:vertAlign w:val="baseline"/>
          <w:rtl w:val="0"/>
        </w:rPr>
        <w:t xml:space="preserve">Presentaremos los objetivos y dimensiones que se  utilizan para evaluar a el progreso de su hijo/a  durante el año.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06988525390625" w:line="277.666654586792" w:lineRule="auto"/>
        <w:ind w:left="1291.6458129882812" w:right="1373.14208984375" w:hanging="653.7620544433594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54"/>
          <w:szCs w:val="54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54"/>
          <w:szCs w:val="54"/>
          <w:u w:val="none"/>
          <w:shd w:fill="auto" w:val="clear"/>
          <w:vertAlign w:val="baseline"/>
          <w:rtl w:val="0"/>
        </w:rPr>
        <w:t xml:space="preserve">Aprenderá que es una “franja de color” y lo que  significa con respecto al desarollo de su hijo/a.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34.2913246154785" w:lineRule="auto"/>
        <w:ind w:left="1303.11767578125" w:right="653.277587890625" w:firstLine="0"/>
        <w:jc w:val="center"/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  <w:sectPr>
          <w:pgSz w:h="8100" w:w="14400" w:orient="landscape"/>
          <w:pgMar w:bottom="94.01611328125" w:top="170.0390625" w:left="68.80041122436523" w:right="127.152099609375" w:header="0" w:footer="720"/>
          <w:pgNumType w:start="1"/>
        </w:sectPr>
      </w:pPr>
      <w:r w:rsidDel="00000000" w:rsidR="00000000" w:rsidRPr="00000000">
        <w:rPr>
          <w:rFonts w:ascii="Lobster" w:cs="Lobster" w:eastAsia="Lobster" w:hAnsi="Lobster"/>
          <w:b w:val="0"/>
          <w:i w:val="0"/>
          <w:smallCaps w:val="0"/>
          <w:strike w:val="0"/>
          <w:color w:val="000000"/>
          <w:sz w:val="78"/>
          <w:szCs w:val="78"/>
          <w:u w:val="none"/>
          <w:shd w:fill="auto" w:val="clear"/>
          <w:vertAlign w:val="baseline"/>
          <w:rtl w:val="0"/>
        </w:rPr>
        <w:t xml:space="preserve">“Qué es “Teaching Strategies Gold”?</w:t>
      </w:r>
      <w:r w:rsidDel="00000000" w:rsidR="00000000" w:rsidRPr="00000000"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¿Cuales son los propósitos de “Teaching Strategies Gold”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327757</wp:posOffset>
            </wp:positionH>
            <wp:positionV relativeFrom="paragraph">
              <wp:posOffset>73952</wp:posOffset>
            </wp:positionV>
            <wp:extent cx="6742500" cy="4731035"/>
            <wp:effectExtent b="0" l="0" r="0" t="0"/>
            <wp:wrapSquare wrapText="bothSides" distB="19050" distT="19050" distL="19050" distR="1905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42500" cy="47310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94.01611328125" w:top="170.0390625" w:left="1440" w:right="1440" w:header="0" w:footer="720"/>
          <w:cols w:equalWidth="0" w:num="1">
            <w:col w:space="0" w:w="11520"/>
          </w:cols>
        </w:sectPr>
      </w:pPr>
      <w:r w:rsidDel="00000000" w:rsidR="00000000" w:rsidRPr="00000000"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  <w:drawing>
          <wp:inline distB="19050" distT="19050" distL="19050" distR="19050">
            <wp:extent cx="8790974" cy="4671430"/>
            <wp:effectExtent b="0" l="0" r="0" t="0"/>
            <wp:docPr id="5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90974" cy="46714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  <w:rtl w:val="0"/>
        </w:rPr>
        <w:t xml:space="preserve">¡Vea a sistema de evaluación en acción!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287.396850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57bb8a"/>
          <w:sz w:val="28"/>
          <w:szCs w:val="28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94.01611328125" w:top="170.0390625" w:left="68.80041122436523" w:right="127.152099609375" w:header="0" w:footer="720"/>
          <w:cols w:equalWidth="0" w:num="1">
            <w:col w:space="0" w:w="14204.04748916626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7bb8a"/>
          <w:sz w:val="28"/>
          <w:szCs w:val="28"/>
          <w:highlight w:val="black"/>
          <w:u w:val="single"/>
          <w:vertAlign w:val="baseline"/>
          <w:rtl w:val="0"/>
        </w:rPr>
        <w:t xml:space="preserve">Vea a "Gold" en acción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7bb8a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58"/>
          <w:szCs w:val="58"/>
          <w:highlight w:val="black"/>
          <w:u w:val="none"/>
          <w:vertAlign w:val="baseline"/>
        </w:rPr>
      </w:pPr>
      <w:r w:rsidDel="00000000" w:rsidR="00000000" w:rsidRPr="00000000"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58"/>
          <w:szCs w:val="58"/>
          <w:highlight w:val="black"/>
          <w:u w:val="none"/>
          <w:vertAlign w:val="baseline"/>
          <w:rtl w:val="0"/>
        </w:rPr>
        <w:t xml:space="preserve">Objetivos y Dimensiones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.0924072265625" w:line="199.92000102996826" w:lineRule="auto"/>
        <w:ind w:left="0" w:right="0" w:firstLine="0"/>
        <w:jc w:val="left"/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58"/>
          <w:szCs w:val="58"/>
          <w:highlight w:val="black"/>
          <w:u w:val="none"/>
          <w:vertAlign w:val="baseline"/>
        </w:rPr>
        <w:sectPr>
          <w:type w:val="continuous"/>
          <w:pgSz w:h="8100" w:w="14400" w:orient="landscape"/>
          <w:pgMar w:bottom="94.01611328125" w:top="170.0390625" w:left="1440" w:right="1440" w:header="0" w:footer="720"/>
          <w:cols w:equalWidth="0" w:num="1">
            <w:col w:space="0" w:w="11520"/>
          </w:cols>
        </w:sectPr>
      </w:pPr>
      <w:r w:rsidDel="00000000" w:rsidR="00000000" w:rsidRPr="00000000"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58"/>
          <w:szCs w:val="58"/>
          <w:highlight w:val="black"/>
          <w:u w:val="none"/>
          <w:vertAlign w:val="baseline"/>
        </w:rPr>
        <w:drawing>
          <wp:inline distB="19050" distT="19050" distL="19050" distR="19050">
            <wp:extent cx="4353061" cy="4336426"/>
            <wp:effectExtent b="0" l="0" r="0" t="0"/>
            <wp:docPr id="14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53061" cy="43364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58"/>
          <w:szCs w:val="58"/>
          <w:highlight w:val="black"/>
          <w:u w:val="none"/>
          <w:vertAlign w:val="baseline"/>
        </w:rPr>
        <w:drawing>
          <wp:inline distB="19050" distT="19050" distL="19050" distR="19050">
            <wp:extent cx="4353208" cy="4345027"/>
            <wp:effectExtent b="0" l="0" r="0" t="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53208" cy="43450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.600341796875" w:line="241.2077236175537" w:lineRule="auto"/>
        <w:ind w:left="5376.9537353515625" w:right="0" w:firstLine="0"/>
        <w:jc w:val="center"/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En adición a los objetivos discutidos, los  salones de dualidad lingüística utilizan  objetivos de lenguaje y lectoescritura en  español para evaluar a los estudiantes.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-54990</wp:posOffset>
            </wp:positionV>
            <wp:extent cx="3028950" cy="1514475"/>
            <wp:effectExtent b="0" l="0" r="0" t="0"/>
            <wp:wrapSquare wrapText="right" distB="19050" distT="19050" distL="19050" distR="19050"/>
            <wp:docPr id="18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514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-3240103</wp:posOffset>
            </wp:positionH>
            <wp:positionV relativeFrom="paragraph">
              <wp:posOffset>602240</wp:posOffset>
            </wp:positionV>
            <wp:extent cx="3971849" cy="3903869"/>
            <wp:effectExtent b="0" l="0" r="0" t="0"/>
            <wp:wrapSquare wrapText="bothSides" distB="19050" distT="19050" distL="19050" distR="19050"/>
            <wp:docPr id="16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71849" cy="39038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1190558</wp:posOffset>
            </wp:positionH>
            <wp:positionV relativeFrom="paragraph">
              <wp:posOffset>751525</wp:posOffset>
            </wp:positionV>
            <wp:extent cx="3591099" cy="4124884"/>
            <wp:effectExtent b="0" l="0" r="0" t="0"/>
            <wp:wrapSquare wrapText="bothSides" distB="19050" distT="19050" distL="19050" distR="19050"/>
            <wp:docPr id="10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91099" cy="41248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  <w:drawing>
          <wp:inline distB="19050" distT="19050" distL="19050" distR="19050">
            <wp:extent cx="4557401" cy="1985724"/>
            <wp:effectExtent b="0" l="0" r="0" t="0"/>
            <wp:docPr id="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57401" cy="19857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  <w:drawing>
          <wp:inline distB="19050" distT="19050" distL="19050" distR="19050">
            <wp:extent cx="3848100" cy="3204150"/>
            <wp:effectExtent b="0" l="0" r="0" t="0"/>
            <wp:docPr id="1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204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9.9040126800537" w:lineRule="auto"/>
        <w:ind w:left="318.9995765686035" w:right="252.645263671875" w:firstLine="12.400016784667969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Estos son los objetivos en el área socioemocional que evaluamos mediante  observaciones para ver cómo su hijo/a se está desarrollando.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3.3601379394531" w:line="240" w:lineRule="auto"/>
        <w:ind w:left="307.3995780944824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94.01611328125" w:top="170.0390625" w:left="68.80041122436523" w:right="127.152099609375" w:header="0" w:footer="720"/>
          <w:cols w:equalWidth="0" w:num="1">
            <w:col w:space="0" w:w="14204.04748916626"/>
          </w:cols>
        </w:sect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Vamos a mirar 2.c- Interactúa con sus compañeros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.62000274658203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El maestro/a observa y documenta las interacciones de su hijo/a durante el día escolar. Luego, el  maestro/a selecciona la dimensión apropiada y marcará el nivel que aline con la observación.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7.1484375" w:line="199.92000102996826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94.01611328125" w:top="170.0390625" w:left="1440" w:right="1440" w:header="0" w:footer="720"/>
          <w:cols w:equalWidth="0" w:num="1">
            <w:col w:space="0" w:w="11520"/>
          </w:cols>
        </w:sect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19050" distT="19050" distL="19050" distR="19050">
            <wp:extent cx="8595998" cy="3925675"/>
            <wp:effectExtent b="0" l="0" r="0" t="0"/>
            <wp:docPr id="7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95998" cy="3925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4.5989990234375" w:line="240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70"/>
          <w:szCs w:val="7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70"/>
          <w:szCs w:val="70"/>
          <w:u w:val="none"/>
          <w:shd w:fill="auto" w:val="clear"/>
          <w:vertAlign w:val="baseline"/>
          <w:rtl w:val="0"/>
        </w:rPr>
        <w:t xml:space="preserve">¿Qué son 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0999755859375" w:line="239.9040126800537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70"/>
          <w:szCs w:val="7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70"/>
          <w:szCs w:val="70"/>
          <w:u w:val="none"/>
          <w:shd w:fill="auto" w:val="clear"/>
          <w:vertAlign w:val="baseline"/>
          <w:rtl w:val="0"/>
        </w:rPr>
        <w:t xml:space="preserve">las franjas  de colores y  qué 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37982177734375" w:line="240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70"/>
          <w:szCs w:val="7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70"/>
          <w:szCs w:val="70"/>
          <w:u w:val="none"/>
          <w:shd w:fill="auto" w:val="clear"/>
          <w:vertAlign w:val="baseline"/>
          <w:rtl w:val="0"/>
        </w:rPr>
        <w:t xml:space="preserve">significan?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4.07501220703125" w:line="240" w:lineRule="auto"/>
        <w:ind w:left="0" w:right="0" w:firstLine="0"/>
        <w:jc w:val="left"/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Nuestro sistema de 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1990966796875" w:line="238.1399917602539" w:lineRule="auto"/>
        <w:ind w:left="0" w:right="0" w:firstLine="0"/>
        <w:jc w:val="left"/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evaluación está dirigido  para niños desde el 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54949951171875" w:line="238.13992023468018" w:lineRule="auto"/>
        <w:ind w:left="0" w:right="0" w:firstLine="0"/>
        <w:jc w:val="left"/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nacimiento hasta 3er  grado.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  <w:drawing>
          <wp:inline distB="19050" distT="19050" distL="19050" distR="19050">
            <wp:extent cx="5246725" cy="1266125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46725" cy="1266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  <w:drawing>
          <wp:inline distB="19050" distT="19050" distL="19050" distR="19050">
            <wp:extent cx="4388973" cy="3107799"/>
            <wp:effectExtent b="0" l="0" r="0" t="0"/>
            <wp:docPr id="15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8973" cy="31077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Progresión de desarrollo y aprendizaje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-1198640</wp:posOffset>
            </wp:positionH>
            <wp:positionV relativeFrom="paragraph">
              <wp:posOffset>2189744</wp:posOffset>
            </wp:positionV>
            <wp:extent cx="4925315" cy="1626155"/>
            <wp:effectExtent b="0" l="0" r="0" t="0"/>
            <wp:wrapSquare wrapText="bothSides" distB="19050" distT="19050" distL="19050" distR="19050"/>
            <wp:docPr id="1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25315" cy="16261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-907599</wp:posOffset>
            </wp:positionH>
            <wp:positionV relativeFrom="paragraph">
              <wp:posOffset>3389275</wp:posOffset>
            </wp:positionV>
            <wp:extent cx="6040425" cy="1474800"/>
            <wp:effectExtent b="0" l="0" r="0" t="0"/>
            <wp:wrapSquare wrapText="bothSides" distB="19050" distT="19050" distL="19050" distR="19050"/>
            <wp:docPr id="1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40425" cy="1474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64.912109375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Rosado Plata Marrón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20025634765625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94.01611328125" w:top="170.0390625" w:left="474.6739959716797" w:right="140.6298828125" w:header="0" w:footer="720"/>
          <w:cols w:equalWidth="0" w:num="2">
            <w:col w:space="0" w:w="6900"/>
            <w:col w:space="0" w:w="6900"/>
          </w:cols>
        </w:sect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1er grado 2ndo grado 3er grado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6.74737453460693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Comprenda las necesidades de cada  niño basado en indicadores del  desarrollo apropiados.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5.6903076171875" w:line="235.62000274658203" w:lineRule="auto"/>
        <w:ind w:left="0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El modelo de evaluación utilizado en “GOLD” sigue  las expectativas generalizadas para los niños desde  el nacimiento hasta el tercer grado y permite un  enfoque integral del niño para la evaluación.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8.349609375" w:line="235.62005996704102" w:lineRule="auto"/>
        <w:ind w:left="0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progresión por colores guía a los maestros hacia  la selección y adaptación de actividades que apoyan  el desarrollo y aprendizaje de cada niño. Los  informes generados dan la oportunidad de analizar  las prácticas en el salón de clase y dirigen la  instrucción individualizada. 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3.3316040039062" w:line="209.916300773620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Juega cerca  de otros 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6961669921875" w:line="209.91584300994873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niños; usa  materiales o  ejecuta 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70227050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acciones  </w: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similares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5.2844238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Muestre  </w:t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00036621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ejemplos 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3.0267333984375" w:line="213.03465843200684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Usa estrategias  efectivas para  sumarse a los  grupos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-2917551</wp:posOffset>
            </wp:positionH>
            <wp:positionV relativeFrom="paragraph">
              <wp:posOffset>-915319</wp:posOffset>
            </wp:positionV>
            <wp:extent cx="4093200" cy="3087604"/>
            <wp:effectExtent b="0" l="0" r="0" t="0"/>
            <wp:wrapSquare wrapText="bothSides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93200" cy="30876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1.010742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Muestre  </w:t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00036621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94.01611328125" w:top="170.0390625" w:left="496.7338180541992" w:right="783.397216796875" w:header="0" w:footer="720"/>
          <w:cols w:equalWidth="0" w:num="3">
            <w:col w:space="0" w:w="4380"/>
            <w:col w:space="0" w:w="4380"/>
            <w:col w:space="0" w:w="43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ejemplos </w:t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24.654541015625" w:firstLine="0"/>
        <w:jc w:val="right"/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¿</w:t>
      </w:r>
      <w:r w:rsidDel="00000000" w:rsidR="00000000" w:rsidRPr="00000000"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56"/>
          <w:szCs w:val="56"/>
          <w:highlight w:val="black"/>
          <w:u w:val="single"/>
          <w:vertAlign w:val="baseline"/>
          <w:rtl w:val="0"/>
        </w:rPr>
        <w:t xml:space="preserve">Cómo pueden apoyar a su hijo/a en el hogar?</w:t>
      </w:r>
      <w:r w:rsidDel="00000000" w:rsidR="00000000" w:rsidRPr="00000000"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3.9398193359375" w:line="235.62000274658203" w:lineRule="auto"/>
        <w:ind w:left="2148.291015625" w:right="1260.91796875" w:firstLine="0"/>
        <w:jc w:val="center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Mantenga una copia de estos objetivos y dimensiones a mano para ayudar a su hijo/a  a progresar al siguiente nivel.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4.4189453125" w:line="241.2077236175537" w:lineRule="auto"/>
        <w:ind w:left="675.2437591552734" w:right="315.885009765625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Participe en un intercambio de conversación con su hijo/a.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Incorpore al menos 15 min de movimiento/ejercicio en tu día.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LEA o escuche un cuento con su hijo/a todos los días.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Utilice las experiencias cotidianas para reforzar las destrezas 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86517333984375" w:line="241.20789527893066" w:lineRule="auto"/>
        <w:ind w:left="675.2437591552734" w:right="624.5458984375" w:firstLine="629.0074157714844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matemáticas, desarrollo del lenguaje y la alfabetización.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Motive a su hijo/a a utilizar varias herramientas de escritura  para practicar las destrezas de motor fino.  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8648681640625" w:line="241.20783805847168" w:lineRule="auto"/>
        <w:ind w:left="1313.9111328125" w:right="2189.92431640625" w:hanging="638.6672973632812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¡Haga tiempo para que su hijo/a participe en JUEGO  IMAGINATIVO! </w:t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5.62146186828613" w:lineRule="auto"/>
        <w:ind w:left="556.2783050537109" w:right="233.231201171875" w:firstLine="0"/>
        <w:jc w:val="center"/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57bb8a"/>
          <w:sz w:val="66"/>
          <w:szCs w:val="66"/>
          <w:highlight w:val="black"/>
          <w:u w:val="single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  <w:drawing>
          <wp:inline distB="19050" distT="19050" distL="19050" distR="19050">
            <wp:extent cx="4203055" cy="3016539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03055" cy="30165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  <w:drawing>
          <wp:inline distB="19050" distT="19050" distL="19050" distR="19050">
            <wp:extent cx="4175074" cy="3985475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75074" cy="3985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57bb8a"/>
          <w:sz w:val="66"/>
          <w:szCs w:val="66"/>
          <w:highlight w:val="black"/>
          <w:u w:val="single"/>
          <w:vertAlign w:val="baseline"/>
          <w:rtl w:val="0"/>
        </w:rPr>
        <w:t xml:space="preserve">Recursos adicionales para las familias</w:t>
      </w:r>
    </w:p>
    <w:sectPr>
      <w:type w:val="continuous"/>
      <w:pgSz w:h="8100" w:w="14400" w:orient="landscape"/>
      <w:pgMar w:bottom="94.01611328125" w:top="170.0390625" w:left="68.80041122436523" w:right="127.152099609375" w:header="0" w:footer="720"/>
      <w:cols w:equalWidth="0" w:num="1">
        <w:col w:space="0" w:w="14204.04748916626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rchitects Daughter">
    <w:embedRegular w:fontKey="{00000000-0000-0000-0000-000000000000}" r:id="rId1" w:subsetted="0"/>
  </w:font>
  <w:font w:name="Roboto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Economica">
    <w:embedRegular w:fontKey="{00000000-0000-0000-0000-000000000000}" r:id="rId6" w:subsetted="0"/>
    <w:embedBold w:fontKey="{00000000-0000-0000-0000-000000000000}" r:id="rId7" w:subsetted="0"/>
    <w:embedItalic w:fontKey="{00000000-0000-0000-0000-000000000000}" r:id="rId8" w:subsetted="0"/>
    <w:embedBoldItalic w:fontKey="{00000000-0000-0000-0000-000000000000}" r:id="rId9" w:subsetted="0"/>
  </w:font>
  <w:font w:name="Lobster">
    <w:embedRegular w:fontKey="{00000000-0000-0000-0000-000000000000}" r:id="rId10" w:subsetted="0"/>
  </w:font>
  <w:font w:name="Open Sans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7.png"/><Relationship Id="rId11" Type="http://schemas.openxmlformats.org/officeDocument/2006/relationships/image" Target="media/image15.png"/><Relationship Id="rId22" Type="http://schemas.openxmlformats.org/officeDocument/2006/relationships/image" Target="media/image2.png"/><Relationship Id="rId10" Type="http://schemas.openxmlformats.org/officeDocument/2006/relationships/image" Target="media/image13.png"/><Relationship Id="rId21" Type="http://schemas.openxmlformats.org/officeDocument/2006/relationships/image" Target="media/image1.png"/><Relationship Id="rId13" Type="http://schemas.openxmlformats.org/officeDocument/2006/relationships/image" Target="media/image16.png"/><Relationship Id="rId12" Type="http://schemas.openxmlformats.org/officeDocument/2006/relationships/image" Target="media/image12.png"/><Relationship Id="rId23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7.png"/><Relationship Id="rId15" Type="http://schemas.openxmlformats.org/officeDocument/2006/relationships/image" Target="media/image5.png"/><Relationship Id="rId14" Type="http://schemas.openxmlformats.org/officeDocument/2006/relationships/image" Target="media/image6.png"/><Relationship Id="rId17" Type="http://schemas.openxmlformats.org/officeDocument/2006/relationships/image" Target="media/image9.png"/><Relationship Id="rId16" Type="http://schemas.openxmlformats.org/officeDocument/2006/relationships/image" Target="media/image18.png"/><Relationship Id="rId5" Type="http://schemas.openxmlformats.org/officeDocument/2006/relationships/styles" Target="styles.xml"/><Relationship Id="rId19" Type="http://schemas.openxmlformats.org/officeDocument/2006/relationships/image" Target="media/image8.png"/><Relationship Id="rId6" Type="http://schemas.openxmlformats.org/officeDocument/2006/relationships/image" Target="media/image10.png"/><Relationship Id="rId18" Type="http://schemas.openxmlformats.org/officeDocument/2006/relationships/image" Target="media/image14.png"/><Relationship Id="rId7" Type="http://schemas.openxmlformats.org/officeDocument/2006/relationships/image" Target="media/image4.png"/><Relationship Id="rId8" Type="http://schemas.openxmlformats.org/officeDocument/2006/relationships/image" Target="media/image11.png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OpenSans-regular.ttf"/><Relationship Id="rId10" Type="http://schemas.openxmlformats.org/officeDocument/2006/relationships/font" Target="fonts/Lobster-regular.ttf"/><Relationship Id="rId13" Type="http://schemas.openxmlformats.org/officeDocument/2006/relationships/font" Target="fonts/OpenSans-italic.ttf"/><Relationship Id="rId12" Type="http://schemas.openxmlformats.org/officeDocument/2006/relationships/font" Target="fonts/OpenSans-bold.ttf"/><Relationship Id="rId1" Type="http://schemas.openxmlformats.org/officeDocument/2006/relationships/font" Target="fonts/ArchitectsDaughter-regular.ttf"/><Relationship Id="rId2" Type="http://schemas.openxmlformats.org/officeDocument/2006/relationships/font" Target="fonts/Roboto-regular.ttf"/><Relationship Id="rId3" Type="http://schemas.openxmlformats.org/officeDocument/2006/relationships/font" Target="fonts/Roboto-bold.ttf"/><Relationship Id="rId4" Type="http://schemas.openxmlformats.org/officeDocument/2006/relationships/font" Target="fonts/Roboto-italic.ttf"/><Relationship Id="rId9" Type="http://schemas.openxmlformats.org/officeDocument/2006/relationships/font" Target="fonts/Economica-boldItalic.ttf"/><Relationship Id="rId14" Type="http://schemas.openxmlformats.org/officeDocument/2006/relationships/font" Target="fonts/OpenSans-boldItalic.ttf"/><Relationship Id="rId5" Type="http://schemas.openxmlformats.org/officeDocument/2006/relationships/font" Target="fonts/Roboto-boldItalic.ttf"/><Relationship Id="rId6" Type="http://schemas.openxmlformats.org/officeDocument/2006/relationships/font" Target="fonts/Economica-regular.ttf"/><Relationship Id="rId7" Type="http://schemas.openxmlformats.org/officeDocument/2006/relationships/font" Target="fonts/Economica-bold.ttf"/><Relationship Id="rId8" Type="http://schemas.openxmlformats.org/officeDocument/2006/relationships/font" Target="fonts/Economica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