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color w:val="ff0000"/>
          <w:sz w:val="22"/>
          <w:szCs w:val="22"/>
        </w:rPr>
      </w:pPr>
      <w:r w:rsidDel="00000000" w:rsidR="00000000" w:rsidRPr="00000000">
        <w:rPr>
          <w:rtl w:val="0"/>
        </w:rPr>
      </w:r>
    </w:p>
    <w:p w:rsidR="00000000" w:rsidDel="00000000" w:rsidP="00000000" w:rsidRDefault="00000000" w:rsidRPr="00000000" w14:paraId="0000000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color w:val="ff0000"/>
          <w:sz w:val="22"/>
          <w:szCs w:val="22"/>
        </w:rPr>
      </w:pPr>
      <w:r w:rsidDel="00000000" w:rsidR="00000000" w:rsidRPr="00000000">
        <w:rPr>
          <w:rtl w:val="0"/>
        </w:rPr>
      </w:r>
    </w:p>
    <w:p w:rsidR="00000000" w:rsidDel="00000000" w:rsidP="00000000" w:rsidRDefault="00000000" w:rsidRPr="00000000" w14:paraId="0000000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Noviembre, 2025</w:t>
      </w:r>
    </w:p>
    <w:p w:rsidR="00000000" w:rsidDel="00000000" w:rsidP="00000000" w:rsidRDefault="00000000" w:rsidRPr="00000000" w14:paraId="0000000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Estimado padre/representante legal:</w:t>
      </w:r>
    </w:p>
    <w:p w:rsidR="00000000" w:rsidDel="00000000" w:rsidP="00000000" w:rsidRDefault="00000000" w:rsidRPr="00000000" w14:paraId="0000000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Espero que este año escolar haya comenzado con éxito para usted y su hijo(a). La presente tiene como objetivo informarle que Starmount Academy of Excellence </w:t>
      </w:r>
      <w:r w:rsidDel="00000000" w:rsidR="00000000" w:rsidRPr="00000000">
        <w:rPr>
          <w:rFonts w:ascii="Times New Roman" w:cs="Times New Roman" w:eastAsia="Times New Roman" w:hAnsi="Times New Roman"/>
          <w:sz w:val="22"/>
          <w:szCs w:val="22"/>
          <w:rtl w:val="0"/>
        </w:rPr>
        <w:t xml:space="preserve">ha sido designada este año como escuela de Apoyos y Mejoras Específicos Adicionales (ATSI) por la Junta de Educación del Estado de Carolina del Norte. Como se establece en la Sección 1111(d)(2) de la ESSA, las escuelas de Carolina del Norte se identifican como escuelas TSI-AT porque uno o más de los siguientes subgrupos recibieron una calificación de desempeño de subgrupo igual o inferior al desempeño más alto identificado del grupo CSI-LP de Todos los Estudiantes de la escuela durante el año de identificación; y porque la escuela está en la lista TSI-CU para el(los) subgrupo(s) durante el año anterior. Se proporcionan puntajes de desempeño de subgrupo para los siguientes subgrupos: (1) Estudiantes con discapacidades; (2) Estudiantes con desventajas económicas; (3) Estudiantes afroamericanos; (4) Estudiantes blancos; (5) Estudiantes hispanos; (6) Estudiantes asiáticos e isleños del Pacífico; (7) Estudiantes multirraciales; y (8) Estudiantes que están aprendiendo inglés. El propósito de esta carta es comunicar a todos los padres y representantes legales de nuestra comunidad las intenciones de Starmount Academy of Excellence  de mejorar los resultados educativos de los subgrupos de estudiantes con bajo rendimiento y cerrar las brechas de rendimiento para todos los estudiantes.</w:t>
      </w:r>
    </w:p>
    <w:p w:rsidR="00000000" w:rsidDel="00000000" w:rsidP="00000000" w:rsidRDefault="00000000" w:rsidRPr="00000000" w14:paraId="0000000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b w:val="1"/>
          <w:bCs w:val="1"/>
          <w:i w:val="1"/>
          <w:iCs w:val="1"/>
          <w:sz w:val="22"/>
          <w:szCs w:val="22"/>
        </w:rPr>
      </w:pPr>
      <w:r w:rsidDel="00000000" w:rsidR="00000000" w:rsidRPr="00000000">
        <w:rPr>
          <w:rFonts w:ascii="Times New Roman" w:cs="Times New Roman" w:eastAsia="Times New Roman" w:hAnsi="Times New Roman"/>
          <w:sz w:val="22"/>
          <w:szCs w:val="22"/>
          <w:rtl w:val="0"/>
        </w:rPr>
        <w:t xml:space="preserve">Como escuela ATSI, Starmount Academy of Excellence  debe desarrollar un plan de Apoyos y Mejoras Específicos Adicionales (ATSI) que aborde específicamente la manera en que la escuela mejorará los resultados de los subgrupos con bajo rendimiento. El plan también incluirá estrategias que nuestro distrito o escuela autónoma emplearán para apoyar los esfuerzos de mejora de Starmount Academy of Excellence . El plan ATSI abordará las siguientes áreas: </w:t>
      </w:r>
      <w:r w:rsidDel="00000000" w:rsidR="00000000" w:rsidRPr="00000000">
        <w:rPr>
          <w:rtl w:val="0"/>
        </w:rPr>
      </w:r>
    </w:p>
    <w:p w:rsidR="00000000" w:rsidDel="00000000" w:rsidP="00000000" w:rsidRDefault="00000000" w:rsidRPr="00000000" w14:paraId="0000000D">
      <w:pPr>
        <w:ind w:left="0" w:firstLine="0"/>
        <w:jc w:val="both"/>
        <w:rPr>
          <w:rFonts w:ascii="Times New Roman" w:cs="Times New Roman" w:eastAsia="Times New Roman" w:hAnsi="Times New Roman"/>
          <w:sz w:val="22"/>
          <w:szCs w:val="22"/>
          <w:u w:val="none"/>
        </w:rPr>
      </w:pPr>
      <w:r w:rsidDel="00000000" w:rsidR="00000000" w:rsidRPr="00000000">
        <w:rPr>
          <w:rtl w:val="0"/>
        </w:rPr>
      </w:r>
    </w:p>
    <w:p w:rsidR="00000000" w:rsidDel="00000000" w:rsidP="00000000" w:rsidRDefault="00000000" w:rsidRPr="00000000" w14:paraId="0000000E">
      <w:pPr>
        <w:numPr>
          <w:ilvl w:val="0"/>
          <w:numId w:val="5"/>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Educación alineada con los estándares</w:t>
      </w:r>
      <w:r w:rsidDel="00000000" w:rsidR="00000000" w:rsidRPr="00000000">
        <w:rPr>
          <w:rtl w:val="0"/>
        </w:rPr>
      </w:r>
    </w:p>
    <w:p w:rsidR="00000000" w:rsidDel="00000000" w:rsidP="00000000" w:rsidRDefault="00000000" w:rsidRPr="00000000" w14:paraId="0000000F">
      <w:pPr>
        <w:numPr>
          <w:ilvl w:val="0"/>
          <w:numId w:val="5"/>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Liderazgo educativo</w:t>
      </w:r>
      <w:r w:rsidDel="00000000" w:rsidR="00000000" w:rsidRPr="00000000">
        <w:rPr>
          <w:rtl w:val="0"/>
        </w:rPr>
      </w:r>
    </w:p>
    <w:p w:rsidR="00000000" w:rsidDel="00000000" w:rsidP="00000000" w:rsidRDefault="00000000" w:rsidRPr="00000000" w14:paraId="00000010">
      <w:pPr>
        <w:numPr>
          <w:ilvl w:val="0"/>
          <w:numId w:val="5"/>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Toma de decisiones basada en datos</w:t>
      </w:r>
      <w:r w:rsidDel="00000000" w:rsidR="00000000" w:rsidRPr="00000000">
        <w:rPr>
          <w:rtl w:val="0"/>
        </w:rPr>
      </w:r>
    </w:p>
    <w:p w:rsidR="00000000" w:rsidDel="00000000" w:rsidP="00000000" w:rsidRDefault="00000000" w:rsidRPr="00000000" w14:paraId="00000011">
      <w:pPr>
        <w:numPr>
          <w:ilvl w:val="0"/>
          <w:numId w:val="5"/>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Participación de las familias y la comunidad</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1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Hemos fijado los siguientes objetivos para Starmount Academy of Excellence </w:t>
      </w:r>
      <w:r w:rsidDel="00000000" w:rsidR="00000000" w:rsidRPr="00000000">
        <w:rPr>
          <w:rFonts w:ascii="Times New Roman" w:cs="Times New Roman" w:eastAsia="Times New Roman" w:hAnsi="Times New Roman"/>
          <w:sz w:val="22"/>
          <w:szCs w:val="22"/>
          <w:rtl w:val="0"/>
        </w:rPr>
        <w:t xml:space="preserve">este año:</w:t>
      </w:r>
    </w:p>
    <w:p w:rsidR="00000000" w:rsidDel="00000000" w:rsidP="00000000" w:rsidRDefault="00000000" w:rsidRPr="00000000" w14:paraId="00000014">
      <w:pPr>
        <w:widowControl w:val="0"/>
        <w:numPr>
          <w:ilvl w:val="0"/>
          <w:numId w:val="2"/>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estudiantes que obtengan el porciento de acuerdo a su grado (GLP, por sus siglas en inglés) en las evaluaciones de lectura de fin de grado en los grados 3 a 5 aumentará del 16 % en el año escolar 2024-25 al 35 % en el año escolar 2025-26.</w:t>
      </w:r>
    </w:p>
    <w:p w:rsidR="00000000" w:rsidDel="00000000" w:rsidP="00000000" w:rsidRDefault="00000000" w:rsidRPr="00000000" w14:paraId="00000015">
      <w:pPr>
        <w:widowControl w:val="0"/>
        <w:numPr>
          <w:ilvl w:val="0"/>
          <w:numId w:val="2"/>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estudiantes que obtengan el porciento de acuerdo a su grado (GLP) en las evaluaciones de matemáticas de fin de grado en los grados 3 a 5 aumentará del 35.1 % en el año escolar 2024-25 al 50 % en el año escolar 2025-26.</w:t>
      </w:r>
    </w:p>
    <w:p w:rsidR="00000000" w:rsidDel="00000000" w:rsidP="00000000" w:rsidRDefault="00000000" w:rsidRPr="00000000" w14:paraId="00000016">
      <w:pPr>
        <w:widowControl w:val="0"/>
        <w:numPr>
          <w:ilvl w:val="0"/>
          <w:numId w:val="2"/>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Starmount aumentará el porcentaje de estudiantes de K-2 que alcanzan o superan el nivel de grado en el año escolar 2024-25 al 80 % en el año escolar 2025-26.</w:t>
      </w:r>
      <w:r w:rsidDel="00000000" w:rsidR="00000000" w:rsidRPr="00000000">
        <w:rPr>
          <w:rtl w:val="0"/>
        </w:rPr>
      </w:r>
    </w:p>
    <w:p w:rsidR="00000000" w:rsidDel="00000000" w:rsidP="00000000" w:rsidRDefault="00000000" w:rsidRPr="00000000" w14:paraId="0000001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Las siguientes son algunas estrategias que implementaremos para mejorar los resultados de nuestros estudiantes:</w:t>
      </w:r>
    </w:p>
    <w:p w:rsidR="00000000" w:rsidDel="00000000" w:rsidP="00000000" w:rsidRDefault="00000000" w:rsidRPr="00000000" w14:paraId="00000018">
      <w:pPr>
        <w:widowControl w:val="0"/>
        <w:numPr>
          <w:ilvl w:val="0"/>
          <w:numId w:val="6"/>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Utilizar los datos para garantizar una instrucción individualizada en grupos pequeños, basada en el dominio de los estándares por parte de los estudiantes.</w:t>
      </w:r>
    </w:p>
    <w:p w:rsidR="00000000" w:rsidDel="00000000" w:rsidP="00000000" w:rsidRDefault="00000000" w:rsidRPr="00000000" w14:paraId="00000019">
      <w:pPr>
        <w:widowControl w:val="0"/>
        <w:numPr>
          <w:ilvl w:val="0"/>
          <w:numId w:val="6"/>
        </w:numPr>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Academia para Padres de Starmount ofrece trimestralmente información sobre cómo las familias pueden apoyar a sus hijos en casa.</w:t>
      </w:r>
    </w:p>
    <w:p w:rsidR="00000000" w:rsidDel="00000000" w:rsidP="00000000" w:rsidRDefault="00000000" w:rsidRPr="00000000" w14:paraId="0000001A">
      <w:pPr>
        <w:widowControl w:val="0"/>
        <w:tabs>
          <w:tab w:val="left" w:leader="none" w:pos="72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0" w:firstLine="0"/>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 participación de los padres está en el centro de nuestros esfuerzos de mejora escolar. Las siguientes son algunas maneras en las que podemos trabajar juntos:</w:t>
      </w:r>
    </w:p>
    <w:p w:rsidR="00000000" w:rsidDel="00000000" w:rsidP="00000000" w:rsidRDefault="00000000" w:rsidRPr="00000000" w14:paraId="00000022">
      <w:pPr>
        <w:numPr>
          <w:ilvl w:val="0"/>
          <w:numId w:val="1"/>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Asegúrese de que </w:t>
      </w:r>
    </w:p>
    <w:p w:rsidR="00000000" w:rsidDel="00000000" w:rsidP="00000000" w:rsidRDefault="00000000" w:rsidRPr="00000000" w14:paraId="00000023">
      <w:pPr>
        <w:numPr>
          <w:ilvl w:val="0"/>
          <w:numId w:val="1"/>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tanto usted como su hijo(a) estén al tanto de las expectativas académicas establecidas para el estudiante este año escolar. El(los) maestro(s) del estudiante le proporcionarán una lista de objetivos de aprendizaje en un lenguaje amigable, si usted la solicita.</w:t>
      </w:r>
      <w:r w:rsidDel="00000000" w:rsidR="00000000" w:rsidRPr="00000000">
        <w:rPr>
          <w:rtl w:val="0"/>
        </w:rPr>
      </w:r>
    </w:p>
    <w:p w:rsidR="00000000" w:rsidDel="00000000" w:rsidP="00000000" w:rsidRDefault="00000000" w:rsidRPr="00000000" w14:paraId="00000024">
      <w:pPr>
        <w:numPr>
          <w:ilvl w:val="0"/>
          <w:numId w:val="1"/>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Contacte a Starmount Academy of Excellence at 980-343-3630 </w:t>
      </w:r>
      <w:r w:rsidDel="00000000" w:rsidR="00000000" w:rsidRPr="00000000">
        <w:rPr>
          <w:rFonts w:ascii="Times New Roman" w:cs="Times New Roman" w:eastAsia="Times New Roman" w:hAnsi="Times New Roman"/>
          <w:sz w:val="22"/>
          <w:szCs w:val="22"/>
          <w:rtl w:val="0"/>
        </w:rPr>
        <w:t xml:space="preserve">si tiene preguntas o inquietudes sobre su hijo(a), o para programar una cita para reunirse con un miembro del personal de la escuela que trabajará con el estudiante.</w:t>
      </w:r>
      <w:r w:rsidDel="00000000" w:rsidR="00000000" w:rsidRPr="00000000">
        <w:rPr>
          <w:rtl w:val="0"/>
        </w:rPr>
      </w:r>
    </w:p>
    <w:p w:rsidR="00000000" w:rsidDel="00000000" w:rsidP="00000000" w:rsidRDefault="00000000" w:rsidRPr="00000000" w14:paraId="00000025">
      <w:pPr>
        <w:numPr>
          <w:ilvl w:val="0"/>
          <w:numId w:val="1"/>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Asegúrese de que su hijo(a) esté preparado y asista a la escuela todos los días.</w:t>
      </w:r>
      <w:r w:rsidDel="00000000" w:rsidR="00000000" w:rsidRPr="00000000">
        <w:rPr>
          <w:rtl w:val="0"/>
        </w:rPr>
      </w:r>
    </w:p>
    <w:p w:rsidR="00000000" w:rsidDel="00000000" w:rsidP="00000000" w:rsidRDefault="00000000" w:rsidRPr="00000000" w14:paraId="00000026">
      <w:pPr>
        <w:numPr>
          <w:ilvl w:val="0"/>
          <w:numId w:val="1"/>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Supervise las tareas de su hijo(a).</w:t>
      </w:r>
      <w:r w:rsidDel="00000000" w:rsidR="00000000" w:rsidRPr="00000000">
        <w:rPr>
          <w:rtl w:val="0"/>
        </w:rPr>
      </w:r>
    </w:p>
    <w:p w:rsidR="00000000" w:rsidDel="00000000" w:rsidP="00000000" w:rsidRDefault="00000000" w:rsidRPr="00000000" w14:paraId="00000027">
      <w:pPr>
        <w:numPr>
          <w:ilvl w:val="0"/>
          <w:numId w:val="1"/>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Supervise el progreso de su hijo(a) y asista a las reuniones con los maestros de su hijo(a).</w:t>
      </w:r>
      <w:r w:rsidDel="00000000" w:rsidR="00000000" w:rsidRPr="00000000">
        <w:rPr>
          <w:rtl w:val="0"/>
        </w:rPr>
      </w:r>
    </w:p>
    <w:p w:rsidR="00000000" w:rsidDel="00000000" w:rsidP="00000000" w:rsidRDefault="00000000" w:rsidRPr="00000000" w14:paraId="00000028">
      <w:pPr>
        <w:numPr>
          <w:ilvl w:val="0"/>
          <w:numId w:val="1"/>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Siga nuestro sitio web y nuestras redes sociales</w:t>
      </w:r>
    </w:p>
    <w:p w:rsidR="00000000" w:rsidDel="00000000" w:rsidP="00000000" w:rsidRDefault="00000000" w:rsidRPr="00000000" w14:paraId="0000002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b w:val="1"/>
          <w:bCs w:val="1"/>
          <w:sz w:val="22"/>
          <w:szCs w:val="22"/>
          <w:highlight w:val="yellow"/>
        </w:rPr>
      </w:pPr>
      <w:r w:rsidDel="00000000" w:rsidR="00000000" w:rsidRPr="00000000">
        <w:rPr>
          <w:rFonts w:ascii="Times New Roman" w:cs="Times New Roman" w:eastAsia="Times New Roman" w:hAnsi="Times New Roman"/>
          <w:sz w:val="22"/>
          <w:szCs w:val="22"/>
          <w:rtl w:val="0"/>
        </w:rPr>
        <w:t xml:space="preserve">A continuación se enumeran algunos recursos disponibles que pueden ser de utilidad: </w:t>
      </w:r>
      <w:r w:rsidDel="00000000" w:rsidR="00000000" w:rsidRPr="00000000">
        <w:rPr>
          <w:rtl w:val="0"/>
        </w:rPr>
      </w:r>
    </w:p>
    <w:p w:rsidR="00000000" w:rsidDel="00000000" w:rsidP="00000000" w:rsidRDefault="00000000" w:rsidRPr="00000000" w14:paraId="0000002B">
      <w:pPr>
        <w:widowControl w:val="0"/>
        <w:numPr>
          <w:ilvl w:val="0"/>
          <w:numId w:val="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Requisitos de graduación: </w:t>
      </w:r>
      <w:hyperlink r:id="rId7">
        <w:r w:rsidDel="00000000" w:rsidR="00000000" w:rsidRPr="00000000">
          <w:rPr>
            <w:rFonts w:ascii="Times New Roman" w:cs="Times New Roman" w:eastAsia="Times New Roman" w:hAnsi="Times New Roman"/>
            <w:color w:val="0000ff"/>
            <w:sz w:val="22"/>
            <w:szCs w:val="22"/>
            <w:u w:val="single"/>
            <w:rtl w:val="0"/>
          </w:rPr>
          <w:t xml:space="preserve">www.ncpublicschools.org/gradrequirements/</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2C">
      <w:pPr>
        <w:numPr>
          <w:ilvl w:val="0"/>
          <w:numId w:val="4"/>
        </w:numPr>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Estándares K-12 en materias académicas: </w:t>
      </w:r>
      <w:hyperlink r:id="rId8">
        <w:r w:rsidDel="00000000" w:rsidR="00000000" w:rsidRPr="00000000">
          <w:rPr>
            <w:rFonts w:ascii="Times New Roman" w:cs="Times New Roman" w:eastAsia="Times New Roman" w:hAnsi="Times New Roman"/>
            <w:color w:val="0000ff"/>
            <w:sz w:val="22"/>
            <w:szCs w:val="22"/>
            <w:u w:val="single"/>
            <w:rtl w:val="0"/>
          </w:rPr>
          <w:t xml:space="preserve">www.ncpublicschools.org/curriculum/</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2D">
      <w:pPr>
        <w:numPr>
          <w:ilvl w:val="0"/>
          <w:numId w:val="4"/>
        </w:numPr>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Resultados de las pruebas estatales de rendimiento estudiantil: </w:t>
      </w:r>
      <w:hyperlink r:id="rId9">
        <w:r w:rsidDel="00000000" w:rsidR="00000000" w:rsidRPr="00000000">
          <w:rPr>
            <w:rFonts w:ascii="Times New Roman" w:cs="Times New Roman" w:eastAsia="Times New Roman" w:hAnsi="Times New Roman"/>
            <w:color w:val="0000ff"/>
            <w:sz w:val="22"/>
            <w:szCs w:val="22"/>
            <w:u w:val="single"/>
            <w:rtl w:val="0"/>
          </w:rPr>
          <w:t xml:space="preserve">www.ncpublicschools.org/accountability/</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2E">
      <w:pPr>
        <w:widowControl w:val="0"/>
        <w:numPr>
          <w:ilvl w:val="0"/>
          <w:numId w:val="4"/>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Reportes de calificaciones escolares de Carolina del Norte: </w:t>
      </w:r>
      <w:hyperlink r:id="rId10">
        <w:r w:rsidDel="00000000" w:rsidR="00000000" w:rsidRPr="00000000">
          <w:rPr>
            <w:rFonts w:ascii="Times New Roman" w:cs="Times New Roman" w:eastAsia="Times New Roman" w:hAnsi="Times New Roman"/>
            <w:color w:val="0000ff"/>
            <w:sz w:val="22"/>
            <w:szCs w:val="22"/>
            <w:u w:val="single"/>
            <w:rtl w:val="0"/>
          </w:rPr>
          <w:t xml:space="preserve">https://ncreportcards.ondemand.sas.com/src</w:t>
        </w:r>
      </w:hyperlink>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Estamos comprometidos a mejorar el desempeño de todos los estudiantes. Es importante recordar que, así como ninguna calificación o puntaje individual cuenta la historia completa de un estudiante, tampoco muestra la situación completa sobre el desempeño de la escuela o las oportunidades que nuestra escuela brinda. La intención de estas designaciones es mejorar los resultados educativos de todos los estudiantes, cerrar las brechas de rendimiento, aumentar la equidad, y mejorar la calidad de la educación. Estamos entusiasmados con este año escolar, y estamos trabajando para que sea un éxito para todos nuestros estudiantes. Hasta ahora hemos logrado:</w:t>
      </w:r>
    </w:p>
    <w:p w:rsidR="00000000" w:rsidDel="00000000" w:rsidP="00000000" w:rsidRDefault="00000000" w:rsidRPr="00000000" w14:paraId="00000031">
      <w:pPr>
        <w:numPr>
          <w:ilvl w:val="0"/>
          <w:numId w:val="3"/>
        </w:numPr>
        <w:tabs>
          <w:tab w:val="left" w:leader="none" w:pos="723.0000000000001"/>
        </w:tabs>
        <w:spacing w:after="280" w:before="280" w:lineRule="auto"/>
        <w:ind w:left="920" w:right="90" w:hanging="5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Ayude a su hijo a fijar metas para su crecimiento este año.</w:t>
      </w:r>
    </w:p>
    <w:p w:rsidR="00000000" w:rsidDel="00000000" w:rsidP="00000000" w:rsidRDefault="00000000" w:rsidRPr="00000000" w14:paraId="00000032">
      <w:pPr>
        <w:numPr>
          <w:ilvl w:val="0"/>
          <w:numId w:val="3"/>
        </w:numPr>
        <w:tabs>
          <w:tab w:val="left" w:leader="none" w:pos="723.0000000000001"/>
        </w:tabs>
        <w:spacing w:after="280" w:before="280" w:lineRule="auto"/>
        <w:ind w:left="920" w:right="90" w:hanging="5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rtl w:val="0"/>
        </w:rPr>
        <w:t xml:space="preserve">Organizaremos una academia para padres y un festival de otoño para compartir con las familias de manera en que puedan ayudar a sus hijos en casa.</w:t>
      </w:r>
      <w:r w:rsidDel="00000000" w:rsidR="00000000" w:rsidRPr="00000000">
        <w:rPr>
          <w:rtl w:val="0"/>
        </w:rPr>
      </w:r>
    </w:p>
    <w:p w:rsidR="00000000" w:rsidDel="00000000" w:rsidP="00000000" w:rsidRDefault="00000000" w:rsidRPr="00000000" w14:paraId="0000003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Si tiene preguntas sobre el contenido de esta carta, comuníquese con Directora Collins</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escribiendo a</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kylene.westerholm@cms.k12.nc.us</w:t>
      </w:r>
      <w:r w:rsidDel="00000000" w:rsidR="00000000" w:rsidRPr="00000000">
        <w:rPr>
          <w:rFonts w:ascii="Times New Roman" w:cs="Times New Roman" w:eastAsia="Times New Roman" w:hAnsi="Times New Roman"/>
          <w:b w:val="1"/>
          <w:bCs w:val="1"/>
          <w:sz w:val="22"/>
          <w:szCs w:val="22"/>
          <w:rtl w:val="0"/>
        </w:rPr>
        <w:t xml:space="preserve"> </w:t>
      </w:r>
      <w:r w:rsidDel="00000000" w:rsidR="00000000" w:rsidRPr="00000000">
        <w:rPr>
          <w:rFonts w:ascii="Times New Roman" w:cs="Times New Roman" w:eastAsia="Times New Roman" w:hAnsi="Times New Roman"/>
          <w:sz w:val="22"/>
          <w:szCs w:val="22"/>
          <w:rtl w:val="0"/>
        </w:rPr>
        <w:t xml:space="preserve">o llamando al 980-343-3630</w:t>
      </w:r>
    </w:p>
    <w:p w:rsidR="00000000" w:rsidDel="00000000" w:rsidP="00000000" w:rsidRDefault="00000000" w:rsidRPr="00000000" w14:paraId="0000003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Cordialmente,</w:t>
      </w:r>
    </w:p>
    <w:p w:rsidR="00000000" w:rsidDel="00000000" w:rsidP="00000000" w:rsidRDefault="00000000" w:rsidRPr="00000000" w14:paraId="0000003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9">
      <w:pPr>
        <w:widowControl w:val="0"/>
        <w:rPr>
          <w:rFonts w:ascii="Times New Roman" w:cs="Times New Roman" w:eastAsia="Times New Roman" w:hAnsi="Times New Roman"/>
          <w:color w:val="ff0000"/>
        </w:rPr>
      </w:pPr>
      <w:r w:rsidDel="00000000" w:rsidR="00000000" w:rsidRPr="00000000">
        <w:rPr>
          <w:rFonts w:ascii="Didact Gothic" w:cs="Didact Gothic" w:eastAsia="Didact Gothic" w:hAnsi="Didact Gothic"/>
          <w:sz w:val="18"/>
          <w:szCs w:val="18"/>
        </w:rPr>
        <mc:AlternateContent>
          <mc:Choice Requires="wpg">
            <w:drawing>
              <wp:inline distB="114300" distT="114300" distL="114300" distR="114300">
                <wp:extent cx="2924175" cy="458187"/>
                <wp:effectExtent b="0" l="0" r="0" t="0"/>
                <wp:docPr id="1" name=""/>
                <a:graphic>
                  <a:graphicData uri="http://schemas.microsoft.com/office/word/2010/wordprocessingGroup">
                    <wpg:wgp>
                      <wpg:cNvGrpSpPr/>
                      <wpg:grpSpPr>
                        <a:xfrm>
                          <a:off x="302550" y="1643200"/>
                          <a:ext cx="2924175" cy="458187"/>
                          <a:chOff x="302550" y="1643200"/>
                          <a:chExt cx="4515775" cy="1443450"/>
                        </a:xfrm>
                      </wpg:grpSpPr>
                      <wps:wsp>
                        <wps:cNvSpPr/>
                        <wps:cNvPr id="2" name="Shape 2"/>
                        <wps:spPr>
                          <a:xfrm>
                            <a:off x="439300" y="1779425"/>
                            <a:ext cx="20300" cy="974500"/>
                          </a:xfrm>
                          <a:custGeom>
                            <a:rect b="b" l="l" r="r" t="t"/>
                            <a:pathLst>
                              <a:path extrusionOk="0" h="38980" w="812">
                                <a:moveTo>
                                  <a:pt x="0" y="0"/>
                                </a:moveTo>
                                <a:cubicBezTo>
                                  <a:pt x="0" y="12996"/>
                                  <a:pt x="812" y="25984"/>
                                  <a:pt x="812" y="3898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307325" y="1708375"/>
                            <a:ext cx="2050500" cy="1376550"/>
                          </a:xfrm>
                          <a:custGeom>
                            <a:rect b="b" l="l" r="r" t="t"/>
                            <a:pathLst>
                              <a:path extrusionOk="0" h="55062" w="82020">
                                <a:moveTo>
                                  <a:pt x="27205" y="0"/>
                                </a:moveTo>
                                <a:cubicBezTo>
                                  <a:pt x="20630" y="9200"/>
                                  <a:pt x="13000" y="19995"/>
                                  <a:pt x="2030" y="22738"/>
                                </a:cubicBezTo>
                                <a:cubicBezTo>
                                  <a:pt x="1361" y="22905"/>
                                  <a:pt x="0" y="23834"/>
                                  <a:pt x="0" y="23144"/>
                                </a:cubicBezTo>
                                <a:cubicBezTo>
                                  <a:pt x="0" y="22277"/>
                                  <a:pt x="1278" y="21950"/>
                                  <a:pt x="2030" y="21520"/>
                                </a:cubicBezTo>
                                <a:cubicBezTo>
                                  <a:pt x="4735" y="19974"/>
                                  <a:pt x="8876" y="20056"/>
                                  <a:pt x="11369" y="21926"/>
                                </a:cubicBezTo>
                                <a:cubicBezTo>
                                  <a:pt x="14509" y="24281"/>
                                  <a:pt x="15846" y="31911"/>
                                  <a:pt x="19490" y="30453"/>
                                </a:cubicBezTo>
                                <a:cubicBezTo>
                                  <a:pt x="22197" y="29370"/>
                                  <a:pt x="22738" y="25247"/>
                                  <a:pt x="22738" y="22332"/>
                                </a:cubicBezTo>
                                <a:cubicBezTo>
                                  <a:pt x="22738" y="20972"/>
                                  <a:pt x="22937" y="25048"/>
                                  <a:pt x="23144" y="26392"/>
                                </a:cubicBezTo>
                                <a:cubicBezTo>
                                  <a:pt x="23504" y="28732"/>
                                  <a:pt x="24829" y="31170"/>
                                  <a:pt x="26799" y="32483"/>
                                </a:cubicBezTo>
                                <a:cubicBezTo>
                                  <a:pt x="29352" y="34185"/>
                                  <a:pt x="31919" y="28491"/>
                                  <a:pt x="32889" y="25580"/>
                                </a:cubicBezTo>
                                <a:cubicBezTo>
                                  <a:pt x="33065" y="25051"/>
                                  <a:pt x="32985" y="23492"/>
                                  <a:pt x="33295" y="23956"/>
                                </a:cubicBezTo>
                                <a:cubicBezTo>
                                  <a:pt x="37358" y="30051"/>
                                  <a:pt x="37797" y="37919"/>
                                  <a:pt x="39386" y="45070"/>
                                </a:cubicBezTo>
                                <a:cubicBezTo>
                                  <a:pt x="40093" y="48252"/>
                                  <a:pt x="41626" y="53670"/>
                                  <a:pt x="38574" y="54815"/>
                                </a:cubicBezTo>
                                <a:cubicBezTo>
                                  <a:pt x="35937" y="55804"/>
                                  <a:pt x="32727" y="50555"/>
                                  <a:pt x="33701" y="47912"/>
                                </a:cubicBezTo>
                                <a:cubicBezTo>
                                  <a:pt x="38410" y="35128"/>
                                  <a:pt x="48319" y="23369"/>
                                  <a:pt x="48319" y="9745"/>
                                </a:cubicBezTo>
                                <a:cubicBezTo>
                                  <a:pt x="48319" y="7644"/>
                                  <a:pt x="48575" y="4593"/>
                                  <a:pt x="46695" y="3654"/>
                                </a:cubicBezTo>
                                <a:cubicBezTo>
                                  <a:pt x="38341" y="-522"/>
                                  <a:pt x="37170" y="29645"/>
                                  <a:pt x="46288" y="31671"/>
                                </a:cubicBezTo>
                                <a:cubicBezTo>
                                  <a:pt x="49116" y="32299"/>
                                  <a:pt x="52563" y="29220"/>
                                  <a:pt x="53191" y="26392"/>
                                </a:cubicBezTo>
                                <a:cubicBezTo>
                                  <a:pt x="53362" y="25622"/>
                                  <a:pt x="52128" y="23588"/>
                                  <a:pt x="51973" y="24362"/>
                                </a:cubicBezTo>
                                <a:cubicBezTo>
                                  <a:pt x="51452" y="26970"/>
                                  <a:pt x="51380" y="31640"/>
                                  <a:pt x="54003" y="32077"/>
                                </a:cubicBezTo>
                                <a:cubicBezTo>
                                  <a:pt x="58944" y="32901"/>
                                  <a:pt x="60213" y="24214"/>
                                  <a:pt x="63342" y="20302"/>
                                </a:cubicBezTo>
                                <a:cubicBezTo>
                                  <a:pt x="65498" y="17607"/>
                                  <a:pt x="62403" y="33727"/>
                                  <a:pt x="61312" y="30453"/>
                                </a:cubicBezTo>
                                <a:cubicBezTo>
                                  <a:pt x="60540" y="28138"/>
                                  <a:pt x="61315" y="23363"/>
                                  <a:pt x="63748" y="23550"/>
                                </a:cubicBezTo>
                                <a:cubicBezTo>
                                  <a:pt x="67799" y="23862"/>
                                  <a:pt x="73675" y="27336"/>
                                  <a:pt x="75929" y="23956"/>
                                </a:cubicBezTo>
                                <a:cubicBezTo>
                                  <a:pt x="76738" y="22743"/>
                                  <a:pt x="75688" y="19435"/>
                                  <a:pt x="74305" y="19896"/>
                                </a:cubicBezTo>
                                <a:cubicBezTo>
                                  <a:pt x="73650" y="20114"/>
                                  <a:pt x="73813" y="21241"/>
                                  <a:pt x="73899" y="21926"/>
                                </a:cubicBezTo>
                                <a:cubicBezTo>
                                  <a:pt x="74241" y="24665"/>
                                  <a:pt x="79401" y="24423"/>
                                  <a:pt x="82020" y="2355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2510874" y="1645665"/>
                            <a:ext cx="2303475" cy="821800"/>
                          </a:xfrm>
                          <a:custGeom>
                            <a:rect b="b" l="l" r="r" t="t"/>
                            <a:pathLst>
                              <a:path extrusionOk="0" h="32872" w="92139">
                                <a:moveTo>
                                  <a:pt x="26361" y="6162"/>
                                </a:moveTo>
                                <a:cubicBezTo>
                                  <a:pt x="19818" y="3981"/>
                                  <a:pt x="13107" y="-1382"/>
                                  <a:pt x="6465" y="478"/>
                                </a:cubicBezTo>
                                <a:cubicBezTo>
                                  <a:pt x="2905" y="1475"/>
                                  <a:pt x="2963" y="7060"/>
                                  <a:pt x="1999" y="10629"/>
                                </a:cubicBezTo>
                                <a:cubicBezTo>
                                  <a:pt x="193" y="17313"/>
                                  <a:pt x="-1976" y="27264"/>
                                  <a:pt x="3623" y="31337"/>
                                </a:cubicBezTo>
                                <a:cubicBezTo>
                                  <a:pt x="6689" y="33568"/>
                                  <a:pt x="11959" y="33207"/>
                                  <a:pt x="14992" y="30931"/>
                                </a:cubicBezTo>
                                <a:cubicBezTo>
                                  <a:pt x="17815" y="28813"/>
                                  <a:pt x="17147" y="21998"/>
                                  <a:pt x="20676" y="21998"/>
                                </a:cubicBezTo>
                                <a:cubicBezTo>
                                  <a:pt x="23703" y="21998"/>
                                  <a:pt x="21927" y="31243"/>
                                  <a:pt x="24737" y="30119"/>
                                </a:cubicBezTo>
                                <a:cubicBezTo>
                                  <a:pt x="27777" y="28903"/>
                                  <a:pt x="22179" y="19277"/>
                                  <a:pt x="19864" y="21592"/>
                                </a:cubicBezTo>
                                <a:cubicBezTo>
                                  <a:pt x="18638" y="22818"/>
                                  <a:pt x="22307" y="24218"/>
                                  <a:pt x="23925" y="24840"/>
                                </a:cubicBezTo>
                                <a:cubicBezTo>
                                  <a:pt x="28069" y="26434"/>
                                  <a:pt x="33931" y="21124"/>
                                  <a:pt x="34482" y="16719"/>
                                </a:cubicBezTo>
                                <a:cubicBezTo>
                                  <a:pt x="34751" y="14570"/>
                                  <a:pt x="36013" y="8692"/>
                                  <a:pt x="34482" y="10223"/>
                                </a:cubicBezTo>
                                <a:cubicBezTo>
                                  <a:pt x="30706" y="13999"/>
                                  <a:pt x="31737" y="24763"/>
                                  <a:pt x="36918" y="26058"/>
                                </a:cubicBezTo>
                                <a:cubicBezTo>
                                  <a:pt x="43222" y="27634"/>
                                  <a:pt x="51193" y="16035"/>
                                  <a:pt x="48287" y="10223"/>
                                </a:cubicBezTo>
                                <a:cubicBezTo>
                                  <a:pt x="46960" y="7568"/>
                                  <a:pt x="44102" y="15423"/>
                                  <a:pt x="44633" y="18343"/>
                                </a:cubicBezTo>
                                <a:cubicBezTo>
                                  <a:pt x="45250" y="21738"/>
                                  <a:pt x="48979" y="25994"/>
                                  <a:pt x="52348" y="25246"/>
                                </a:cubicBezTo>
                                <a:cubicBezTo>
                                  <a:pt x="55206" y="24611"/>
                                  <a:pt x="58150" y="22885"/>
                                  <a:pt x="59656" y="20374"/>
                                </a:cubicBezTo>
                                <a:cubicBezTo>
                                  <a:pt x="60434" y="19076"/>
                                  <a:pt x="60468" y="14394"/>
                                  <a:pt x="60468" y="15907"/>
                                </a:cubicBezTo>
                                <a:cubicBezTo>
                                  <a:pt x="60468" y="19467"/>
                                  <a:pt x="58758" y="25214"/>
                                  <a:pt x="62092" y="26464"/>
                                </a:cubicBezTo>
                                <a:cubicBezTo>
                                  <a:pt x="64449" y="27348"/>
                                  <a:pt x="65675" y="22731"/>
                                  <a:pt x="66559" y="20374"/>
                                </a:cubicBezTo>
                                <a:cubicBezTo>
                                  <a:pt x="66801" y="19728"/>
                                  <a:pt x="66477" y="17855"/>
                                  <a:pt x="66965" y="18343"/>
                                </a:cubicBezTo>
                                <a:cubicBezTo>
                                  <a:pt x="68636" y="20014"/>
                                  <a:pt x="67532" y="27360"/>
                                  <a:pt x="68589" y="25246"/>
                                </a:cubicBezTo>
                                <a:cubicBezTo>
                                  <a:pt x="69355" y="23715"/>
                                  <a:pt x="68844" y="21401"/>
                                  <a:pt x="70213" y="20374"/>
                                </a:cubicBezTo>
                                <a:cubicBezTo>
                                  <a:pt x="71869" y="19132"/>
                                  <a:pt x="74648" y="22834"/>
                                  <a:pt x="76304" y="21592"/>
                                </a:cubicBezTo>
                                <a:cubicBezTo>
                                  <a:pt x="79065" y="19522"/>
                                  <a:pt x="75016" y="12389"/>
                                  <a:pt x="78334" y="11441"/>
                                </a:cubicBezTo>
                                <a:cubicBezTo>
                                  <a:pt x="82420" y="10273"/>
                                  <a:pt x="91139" y="15836"/>
                                  <a:pt x="88485" y="19155"/>
                                </a:cubicBezTo>
                                <a:cubicBezTo>
                                  <a:pt x="87109" y="20876"/>
                                  <a:pt x="81001" y="18404"/>
                                  <a:pt x="81988" y="20374"/>
                                </a:cubicBezTo>
                                <a:cubicBezTo>
                                  <a:pt x="83515" y="23421"/>
                                  <a:pt x="90250" y="21991"/>
                                  <a:pt x="92139" y="1915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2924175" cy="458187"/>
                <wp:effectExtent b="0" l="0" r="0" t="0"/>
                <wp:docPr id="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2924175" cy="45818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3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Kylene Collins</w:t>
      </w: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imes New Roman" w:cs="Times New Roman" w:eastAsia="Times New Roman" w:hAnsi="Times New Roman"/>
          <w:sz w:val="20"/>
          <w:szCs w:val="20"/>
        </w:rPr>
      </w:pPr>
      <w:r w:rsidDel="00000000" w:rsidR="00000000" w:rsidRPr="00000000">
        <w:rPr>
          <w:rtl w:val="0"/>
        </w:rPr>
      </w:r>
    </w:p>
    <w:sectPr>
      <w:headerReference r:id="rId12" w:type="default"/>
      <w:headerReference r:id="rId13" w:type="first"/>
      <w:headerReference r:id="rId14" w:type="even"/>
      <w:footerReference r:id="rId15" w:type="default"/>
      <w:footerReference r:id="rId16" w:type="first"/>
      <w:footerReference r:id="rId17" w:type="even"/>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Didact Gothic">
    <w:embedRegular w:fontKey="{00000000-0000-0000-0000-000000000000}" r:id="rId1" w:subsetted="0"/>
  </w:font>
  <w:font w:name="Times"/>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pBdr>
        <w:top w:space="0" w:sz="0" w:val="nil"/>
        <w:left w:space="0" w:sz="0" w:val="nil"/>
        <w:bottom w:space="0" w:sz="0" w:val="nil"/>
        <w:right w:space="0" w:sz="0" w:val="nil"/>
        <w:between w:space="0" w:sz="0" w:val="nil"/>
      </w:pBdr>
      <w:jc w:val="right"/>
      <w:rPr>
        <w:rFonts w:ascii="Times New Roman" w:cs="Times New Roman" w:eastAsia="Times New Roman" w:hAnsi="Times New Roman"/>
        <w:i w:val="1"/>
        <w:iCs w:val="1"/>
        <w:color w:val="000000"/>
        <w:sz w:val="16"/>
        <w:szCs w:val="16"/>
      </w:rPr>
    </w:pPr>
    <w:r w:rsidDel="00000000" w:rsidR="00000000" w:rsidRPr="00000000">
      <w:rPr>
        <w:rFonts w:ascii="Times New Roman" w:cs="Times New Roman" w:eastAsia="Times New Roman" w:hAnsi="Times New Roman"/>
        <w:i w:val="1"/>
        <w:iCs w:val="1"/>
        <w:sz w:val="20"/>
        <w:szCs w:val="20"/>
        <w:rtl w:val="0"/>
      </w:rPr>
      <w:t xml:space="preserve">Spanish-ATSI</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2152650</wp:posOffset>
          </wp:positionH>
          <wp:positionV relativeFrom="paragraph">
            <wp:posOffset>-234586</wp:posOffset>
          </wp:positionV>
          <wp:extent cx="1776413" cy="1127543"/>
          <wp:effectExtent b="0" l="0" r="0" t="0"/>
          <wp:wrapNone/>
          <wp:docPr id="2" name="image1.png"/>
          <a:graphic>
            <a:graphicData uri="http://schemas.openxmlformats.org/drawingml/2006/picture">
              <pic:pic>
                <pic:nvPicPr>
                  <pic:cNvPr id="0" name="image1.png"/>
                  <pic:cNvPicPr preferRelativeResize="0"/>
                </pic:nvPicPr>
                <pic:blipFill>
                  <a:blip r:embed="rId1"/>
                  <a:srcRect b="18925" l="0" r="0" t="17815"/>
                  <a:stretch>
                    <a:fillRect/>
                  </a:stretch>
                </pic:blipFill>
                <pic:spPr>
                  <a:xfrm>
                    <a:off x="0" y="0"/>
                    <a:ext cx="1776413" cy="112754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pBdr>
        <w:top w:space="0" w:sz="0" w:val="nil"/>
        <w:left w:space="0" w:sz="0" w:val="nil"/>
        <w:bottom w:space="0" w:sz="0" w:val="nil"/>
        <w:right w:space="0" w:sz="0" w:val="nil"/>
        <w:between w:space="0" w:sz="0" w:val="nil"/>
      </w:pBd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2"/>
      <w:numFmt w:val="bullet"/>
      <w:lvlText w:val="●"/>
      <w:lvlJc w:val="left"/>
      <w:pPr>
        <w:ind w:left="920" w:hanging="560"/>
      </w:pPr>
      <w:rPr>
        <w:sz w:val="14"/>
        <w:szCs w:val="14"/>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rPr>
      <w:rFonts w:ascii="Times" w:cs="Times" w:eastAsia="Times" w:hAnsi="Times"/>
      <w:b w:val="1"/>
      <w:bCs w:val="1"/>
      <w:sz w:val="27"/>
      <w:szCs w:val="27"/>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ncreportcards.ondemand.sas.com/src"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cpublicschools.org/accountability/" TargetMode="External"/><Relationship Id="rId15" Type="http://schemas.openxmlformats.org/officeDocument/2006/relationships/footer" Target="footer1.xml"/><Relationship Id="rId14" Type="http://schemas.openxmlformats.org/officeDocument/2006/relationships/header" Target="header3.xml"/><Relationship Id="rId17" Type="http://schemas.openxmlformats.org/officeDocument/2006/relationships/footer" Target="footer3.xml"/><Relationship Id="rId16"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cpublicschools.org/gradrequirements/" TargetMode="External"/><Relationship Id="rId8" Type="http://schemas.openxmlformats.org/officeDocument/2006/relationships/hyperlink" Target="http://www.ncpublicschools.org/curriculu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idactGothic-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rXJZ5oRkzRdJfrMu9Ysd8zcYrw==">CgMxLjA4AHIhMWhZVUdNYTV2bUpOWGkta2s4RnVIUGJlcmRGTE5LMEJD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2025-10-14T14:35:00Z</dcterms:created>
  <dc:creator>Melanie F. Bower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20fc5d65-7e5b-4f5b-8151-b761352dd49b</vt:lpwstr>
  </property>
</Properties>
</file>