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F71F" w14:textId="77777777" w:rsidR="000F487D" w:rsidRDefault="00000000">
      <w:pPr>
        <w:ind w:left="2160" w:firstLine="720"/>
        <w:jc w:val="both"/>
        <w:rPr>
          <w:sz w:val="20"/>
          <w:szCs w:val="20"/>
        </w:rPr>
      </w:pPr>
      <w:r>
        <w:rPr>
          <w:sz w:val="20"/>
          <w:szCs w:val="20"/>
        </w:rPr>
        <w:t>Hart County Charter System</w:t>
      </w:r>
    </w:p>
    <w:p w14:paraId="22A9134A" w14:textId="77777777" w:rsidR="000F487D" w:rsidRDefault="000F487D">
      <w:pPr>
        <w:jc w:val="both"/>
        <w:rPr>
          <w:sz w:val="20"/>
          <w:szCs w:val="20"/>
        </w:rPr>
      </w:pPr>
    </w:p>
    <w:p w14:paraId="4B55CC1C" w14:textId="77777777" w:rsidR="000F487D" w:rsidRDefault="00000000">
      <w:pPr>
        <w:ind w:left="2880"/>
        <w:jc w:val="both"/>
        <w:rPr>
          <w:sz w:val="20"/>
          <w:szCs w:val="20"/>
        </w:rPr>
      </w:pPr>
      <w:r>
        <w:rPr>
          <w:noProof/>
          <w:sz w:val="20"/>
          <w:szCs w:val="20"/>
        </w:rPr>
        <w:drawing>
          <wp:inline distT="114300" distB="114300" distL="114300" distR="114300" wp14:anchorId="2592C8E2" wp14:editId="0B314AE4">
            <wp:extent cx="1238250" cy="1238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250" cy="1238250"/>
                    </a:xfrm>
                    <a:prstGeom prst="rect">
                      <a:avLst/>
                    </a:prstGeom>
                    <a:ln/>
                  </pic:spPr>
                </pic:pic>
              </a:graphicData>
            </a:graphic>
          </wp:inline>
        </w:drawing>
      </w:r>
    </w:p>
    <w:p w14:paraId="358419ED" w14:textId="77777777" w:rsidR="000F487D" w:rsidRDefault="000F487D">
      <w:pPr>
        <w:jc w:val="both"/>
        <w:rPr>
          <w:sz w:val="20"/>
          <w:szCs w:val="20"/>
        </w:rPr>
      </w:pPr>
    </w:p>
    <w:p w14:paraId="27E36514" w14:textId="77777777" w:rsidR="000F487D" w:rsidRDefault="000F487D">
      <w:pPr>
        <w:ind w:left="1440" w:firstLine="720"/>
        <w:jc w:val="both"/>
        <w:rPr>
          <w:sz w:val="20"/>
          <w:szCs w:val="20"/>
          <w:u w:val="single"/>
        </w:rPr>
      </w:pPr>
    </w:p>
    <w:p w14:paraId="59A96AC9" w14:textId="77777777" w:rsidR="000F487D" w:rsidRDefault="00000000">
      <w:pPr>
        <w:ind w:left="2160" w:firstLine="720"/>
        <w:rPr>
          <w:b/>
          <w:u w:val="single"/>
        </w:rPr>
      </w:pPr>
      <w:r>
        <w:rPr>
          <w:b/>
          <w:u w:val="single"/>
        </w:rPr>
        <w:t>General Travel Information</w:t>
      </w:r>
    </w:p>
    <w:p w14:paraId="5372758A" w14:textId="77777777" w:rsidR="000F487D" w:rsidRDefault="000F487D">
      <w:pPr>
        <w:jc w:val="both"/>
        <w:rPr>
          <w:sz w:val="20"/>
          <w:szCs w:val="20"/>
          <w:u w:val="single"/>
        </w:rPr>
      </w:pPr>
    </w:p>
    <w:p w14:paraId="691404C6" w14:textId="77777777" w:rsidR="000F487D" w:rsidRDefault="00000000">
      <w:pPr>
        <w:jc w:val="both"/>
        <w:rPr>
          <w:sz w:val="20"/>
          <w:szCs w:val="20"/>
        </w:rPr>
      </w:pPr>
      <w:r>
        <w:rPr>
          <w:sz w:val="20"/>
          <w:szCs w:val="20"/>
        </w:rPr>
        <w:t xml:space="preserve">Hart County Charter System is required to follow the state travel regulations, as established by the State of Georgia. These regulations are available at </w:t>
      </w:r>
      <w:hyperlink r:id="rId5">
        <w:r>
          <w:rPr>
            <w:color w:val="1155CC"/>
            <w:sz w:val="20"/>
            <w:szCs w:val="20"/>
            <w:u w:val="single"/>
          </w:rPr>
          <w:t>https://sao.georgia.gov/travel/state-travel-pol</w:t>
        </w:r>
        <w:r>
          <w:rPr>
            <w:color w:val="1155CC"/>
            <w:sz w:val="20"/>
            <w:szCs w:val="20"/>
            <w:u w:val="single"/>
          </w:rPr>
          <w:t>i</w:t>
        </w:r>
        <w:r>
          <w:rPr>
            <w:color w:val="1155CC"/>
            <w:sz w:val="20"/>
            <w:szCs w:val="20"/>
            <w:u w:val="single"/>
          </w:rPr>
          <w:t>cy</w:t>
        </w:r>
      </w:hyperlink>
      <w:r>
        <w:rPr>
          <w:sz w:val="20"/>
          <w:szCs w:val="20"/>
        </w:rPr>
        <w:t>.</w:t>
      </w:r>
    </w:p>
    <w:p w14:paraId="4008115F" w14:textId="77777777" w:rsidR="000F487D" w:rsidRDefault="000F487D">
      <w:pPr>
        <w:jc w:val="both"/>
        <w:rPr>
          <w:sz w:val="20"/>
          <w:szCs w:val="20"/>
        </w:rPr>
      </w:pPr>
    </w:p>
    <w:p w14:paraId="108F4381" w14:textId="77777777" w:rsidR="000F487D" w:rsidRDefault="00000000">
      <w:pPr>
        <w:jc w:val="both"/>
        <w:rPr>
          <w:sz w:val="20"/>
          <w:szCs w:val="20"/>
        </w:rPr>
      </w:pPr>
      <w:r>
        <w:rPr>
          <w:sz w:val="20"/>
          <w:szCs w:val="20"/>
        </w:rPr>
        <w:t xml:space="preserve">Employees are expected to exercise good stewardship of funds when traveling on official business. Any expenditure disallowed by the State is the responsibility of the employee. </w:t>
      </w:r>
    </w:p>
    <w:p w14:paraId="631D651B" w14:textId="77777777" w:rsidR="000F487D" w:rsidRDefault="000F487D">
      <w:pPr>
        <w:jc w:val="both"/>
        <w:rPr>
          <w:b/>
        </w:rPr>
      </w:pPr>
    </w:p>
    <w:p w14:paraId="79BCB451" w14:textId="77777777" w:rsidR="000F487D" w:rsidRDefault="00000000">
      <w:pPr>
        <w:ind w:left="2880"/>
        <w:rPr>
          <w:b/>
          <w:u w:val="single"/>
        </w:rPr>
      </w:pPr>
      <w:r>
        <w:rPr>
          <w:b/>
          <w:u w:val="single"/>
        </w:rPr>
        <w:t xml:space="preserve">Expense Report </w:t>
      </w:r>
    </w:p>
    <w:p w14:paraId="575E7CC3" w14:textId="77777777" w:rsidR="000F487D" w:rsidRDefault="000F487D">
      <w:pPr>
        <w:jc w:val="both"/>
        <w:rPr>
          <w:sz w:val="20"/>
          <w:szCs w:val="20"/>
        </w:rPr>
      </w:pPr>
    </w:p>
    <w:p w14:paraId="5EE53010" w14:textId="77777777" w:rsidR="000F487D" w:rsidRDefault="00000000">
      <w:pPr>
        <w:jc w:val="both"/>
        <w:rPr>
          <w:sz w:val="20"/>
          <w:szCs w:val="20"/>
        </w:rPr>
      </w:pPr>
      <w:r>
        <w:rPr>
          <w:sz w:val="20"/>
          <w:szCs w:val="20"/>
        </w:rPr>
        <w:t>Employees should submit a completed expense statement, with c</w:t>
      </w:r>
      <w:r>
        <w:rPr>
          <w:sz w:val="20"/>
          <w:szCs w:val="20"/>
          <w:highlight w:val="white"/>
        </w:rPr>
        <w:t xml:space="preserve">onference/workshop agendas, within </w:t>
      </w:r>
      <w:r>
        <w:rPr>
          <w:sz w:val="20"/>
          <w:szCs w:val="20"/>
        </w:rPr>
        <w:t xml:space="preserve">30 calendar days. Incomplete forms or old forms will be returned to the supervisor for </w:t>
      </w:r>
      <w:proofErr w:type="gramStart"/>
      <w:r>
        <w:rPr>
          <w:sz w:val="20"/>
          <w:szCs w:val="20"/>
        </w:rPr>
        <w:t>corrections  which</w:t>
      </w:r>
      <w:proofErr w:type="gramEnd"/>
      <w:r>
        <w:rPr>
          <w:sz w:val="20"/>
          <w:szCs w:val="20"/>
        </w:rPr>
        <w:t xml:space="preserve"> may result in delayed reimbursement to the employee.</w:t>
      </w:r>
    </w:p>
    <w:p w14:paraId="1971ACE2" w14:textId="77777777" w:rsidR="000F487D" w:rsidRDefault="000F487D">
      <w:pPr>
        <w:jc w:val="both"/>
        <w:rPr>
          <w:sz w:val="20"/>
          <w:szCs w:val="20"/>
        </w:rPr>
      </w:pPr>
    </w:p>
    <w:p w14:paraId="39021020" w14:textId="62023662" w:rsidR="000F487D" w:rsidRDefault="00000000">
      <w:pPr>
        <w:rPr>
          <w:sz w:val="20"/>
          <w:szCs w:val="20"/>
        </w:rPr>
      </w:pPr>
      <w:r>
        <w:rPr>
          <w:sz w:val="20"/>
          <w:szCs w:val="20"/>
        </w:rPr>
        <w:t xml:space="preserve">The current employee travel expense form is available on our website at </w:t>
      </w:r>
      <w:hyperlink r:id="rId6" w:history="1">
        <w:r w:rsidR="0084671B" w:rsidRPr="0084671B">
          <w:rPr>
            <w:rStyle w:val="Hyperlink"/>
            <w:sz w:val="20"/>
            <w:szCs w:val="20"/>
          </w:rPr>
          <w:t>https://www.hart.k12.ga.us/staff/staff-portal</w:t>
        </w:r>
      </w:hyperlink>
      <w:r w:rsidR="0084671B">
        <w:rPr>
          <w:sz w:val="20"/>
          <w:szCs w:val="20"/>
        </w:rPr>
        <w:t>.</w:t>
      </w:r>
    </w:p>
    <w:p w14:paraId="1F31740B" w14:textId="77777777" w:rsidR="000F487D" w:rsidRDefault="000F487D">
      <w:pPr>
        <w:rPr>
          <w:sz w:val="20"/>
          <w:szCs w:val="20"/>
        </w:rPr>
      </w:pPr>
    </w:p>
    <w:p w14:paraId="473D8A5C" w14:textId="77777777" w:rsidR="000F487D" w:rsidRDefault="00000000">
      <w:pPr>
        <w:ind w:left="2160" w:firstLine="720"/>
        <w:jc w:val="both"/>
        <w:rPr>
          <w:b/>
          <w:u w:val="single"/>
        </w:rPr>
      </w:pPr>
      <w:r>
        <w:rPr>
          <w:b/>
          <w:u w:val="single"/>
        </w:rPr>
        <w:t>Mileage Reimbursements</w:t>
      </w:r>
    </w:p>
    <w:p w14:paraId="1EF1C663" w14:textId="77777777" w:rsidR="000F487D" w:rsidRDefault="000F487D">
      <w:pPr>
        <w:ind w:left="2880" w:firstLine="720"/>
        <w:jc w:val="both"/>
        <w:rPr>
          <w:sz w:val="20"/>
          <w:szCs w:val="20"/>
          <w:u w:val="single"/>
        </w:rPr>
      </w:pPr>
    </w:p>
    <w:p w14:paraId="3C548B13" w14:textId="77777777" w:rsidR="000F487D" w:rsidRDefault="00000000">
      <w:pPr>
        <w:jc w:val="both"/>
        <w:rPr>
          <w:sz w:val="20"/>
          <w:szCs w:val="20"/>
        </w:rPr>
      </w:pPr>
      <w:r>
        <w:rPr>
          <w:sz w:val="20"/>
          <w:szCs w:val="20"/>
        </w:rPr>
        <w:t>Employees will be reimbursed for business miles traveled at the appropriate rate as set forth by the State Accounting Office. Travel occurring Monday-Friday should be calculated from your assigned headquarters.</w:t>
      </w:r>
    </w:p>
    <w:p w14:paraId="126819D8" w14:textId="77777777" w:rsidR="000F487D" w:rsidRDefault="000F487D">
      <w:pPr>
        <w:jc w:val="both"/>
        <w:rPr>
          <w:sz w:val="20"/>
          <w:szCs w:val="20"/>
        </w:rPr>
      </w:pPr>
    </w:p>
    <w:p w14:paraId="3EB420F3" w14:textId="77777777" w:rsidR="000F487D" w:rsidRDefault="000F487D">
      <w:pPr>
        <w:jc w:val="both"/>
        <w:rPr>
          <w:sz w:val="20"/>
          <w:szCs w:val="20"/>
        </w:rPr>
      </w:pPr>
    </w:p>
    <w:p w14:paraId="1F60EDEF" w14:textId="77777777" w:rsidR="000F487D" w:rsidRDefault="00000000">
      <w:pPr>
        <w:ind w:left="2880"/>
        <w:jc w:val="both"/>
        <w:rPr>
          <w:b/>
          <w:u w:val="single"/>
        </w:rPr>
      </w:pPr>
      <w:r>
        <w:rPr>
          <w:b/>
          <w:u w:val="single"/>
        </w:rPr>
        <w:t xml:space="preserve">Meal Expenses -with Overnight Travel </w:t>
      </w:r>
    </w:p>
    <w:p w14:paraId="6494B3A0" w14:textId="77777777" w:rsidR="000F487D" w:rsidRDefault="000F487D">
      <w:pPr>
        <w:jc w:val="both"/>
        <w:rPr>
          <w:sz w:val="20"/>
          <w:szCs w:val="20"/>
          <w:u w:val="single"/>
        </w:rPr>
      </w:pPr>
    </w:p>
    <w:p w14:paraId="37BBFE1B" w14:textId="77777777" w:rsidR="000F487D" w:rsidRDefault="00000000">
      <w:pPr>
        <w:jc w:val="both"/>
        <w:rPr>
          <w:sz w:val="20"/>
          <w:szCs w:val="20"/>
        </w:rPr>
      </w:pPr>
      <w:r>
        <w:rPr>
          <w:sz w:val="20"/>
          <w:szCs w:val="20"/>
        </w:rPr>
        <w:t xml:space="preserve">Employees traveling overnight (in-state or out of </w:t>
      </w:r>
      <w:proofErr w:type="gramStart"/>
      <w:r>
        <w:rPr>
          <w:sz w:val="20"/>
          <w:szCs w:val="20"/>
        </w:rPr>
        <w:t>state)  may</w:t>
      </w:r>
      <w:proofErr w:type="gramEnd"/>
      <w:r>
        <w:rPr>
          <w:sz w:val="20"/>
          <w:szCs w:val="20"/>
        </w:rPr>
        <w:t xml:space="preserve"> be reimbursed for the daily cost of meals within the maximum limits established in the state travel regulations. Employees traveling overnight are generally eligible for per diem amounts designed to cover the cost of 3 meals per day for all days other than the day of departure and the day of return.  First and Last day of travel are deducted by 25%.   Attach conference/meeting agenda to the employee travel expense form.</w:t>
      </w:r>
    </w:p>
    <w:p w14:paraId="42102AC0" w14:textId="77777777" w:rsidR="000F487D" w:rsidRDefault="000F487D">
      <w:pPr>
        <w:jc w:val="both"/>
        <w:rPr>
          <w:sz w:val="20"/>
          <w:szCs w:val="20"/>
        </w:rPr>
      </w:pPr>
    </w:p>
    <w:p w14:paraId="0144D288" w14:textId="77777777" w:rsidR="000F487D" w:rsidRDefault="00000000">
      <w:pPr>
        <w:jc w:val="both"/>
        <w:rPr>
          <w:sz w:val="20"/>
          <w:szCs w:val="20"/>
        </w:rPr>
      </w:pPr>
      <w:r>
        <w:rPr>
          <w:sz w:val="20"/>
          <w:szCs w:val="20"/>
        </w:rPr>
        <w:t>Daily Per Diem Rate:</w:t>
      </w:r>
    </w:p>
    <w:p w14:paraId="484D6986" w14:textId="77777777" w:rsidR="000F487D" w:rsidRDefault="00000000">
      <w:pPr>
        <w:jc w:val="both"/>
        <w:rPr>
          <w:sz w:val="20"/>
          <w:szCs w:val="20"/>
        </w:rPr>
      </w:pPr>
      <w:r>
        <w:rPr>
          <w:sz w:val="20"/>
          <w:szCs w:val="20"/>
        </w:rPr>
        <w:t xml:space="preserve">Breakfast </w:t>
      </w:r>
      <w:proofErr w:type="gramStart"/>
      <w:r>
        <w:rPr>
          <w:sz w:val="20"/>
          <w:szCs w:val="20"/>
        </w:rPr>
        <w:t>=  $</w:t>
      </w:r>
      <w:proofErr w:type="gramEnd"/>
      <w:r>
        <w:rPr>
          <w:sz w:val="20"/>
          <w:szCs w:val="20"/>
        </w:rPr>
        <w:t>13.00    Lunch = $14.00  Dinner = $23.00</w:t>
      </w:r>
    </w:p>
    <w:p w14:paraId="5CD60369" w14:textId="77777777" w:rsidR="000F487D" w:rsidRDefault="00000000">
      <w:pPr>
        <w:jc w:val="both"/>
        <w:rPr>
          <w:sz w:val="20"/>
          <w:szCs w:val="20"/>
        </w:rPr>
      </w:pPr>
      <w:r>
        <w:rPr>
          <w:sz w:val="20"/>
          <w:szCs w:val="20"/>
        </w:rPr>
        <w:t xml:space="preserve">-When meals are provided to an employee </w:t>
      </w:r>
      <w:proofErr w:type="gramStart"/>
      <w:r>
        <w:rPr>
          <w:sz w:val="20"/>
          <w:szCs w:val="20"/>
        </w:rPr>
        <w:t>on  travel</w:t>
      </w:r>
      <w:proofErr w:type="gramEnd"/>
      <w:r>
        <w:rPr>
          <w:sz w:val="20"/>
          <w:szCs w:val="20"/>
        </w:rPr>
        <w:t xml:space="preserve"> departure or return day, the meals per diem reimbursement rate is reduced by the amount of the provided meal(s) after the 75% proration.</w:t>
      </w:r>
    </w:p>
    <w:p w14:paraId="194DAE43" w14:textId="77777777" w:rsidR="000F487D" w:rsidRDefault="000F487D">
      <w:pPr>
        <w:jc w:val="both"/>
        <w:rPr>
          <w:sz w:val="20"/>
          <w:szCs w:val="20"/>
        </w:rPr>
      </w:pPr>
    </w:p>
    <w:p w14:paraId="5422EF05" w14:textId="77777777" w:rsidR="000F487D" w:rsidRDefault="00000000">
      <w:pPr>
        <w:jc w:val="both"/>
        <w:rPr>
          <w:sz w:val="20"/>
          <w:szCs w:val="20"/>
        </w:rPr>
      </w:pPr>
      <w:r>
        <w:rPr>
          <w:sz w:val="20"/>
          <w:szCs w:val="20"/>
        </w:rPr>
        <w:lastRenderedPageBreak/>
        <w:t>Employees who are provided meals as part of a conference fee, must deduct the corresponding meal rate from their per diem reimbursement claim for each meal provided.</w:t>
      </w:r>
    </w:p>
    <w:p w14:paraId="5B3872E0" w14:textId="77777777" w:rsidR="000F487D" w:rsidRDefault="000F487D">
      <w:pPr>
        <w:jc w:val="both"/>
        <w:rPr>
          <w:sz w:val="20"/>
          <w:szCs w:val="20"/>
        </w:rPr>
      </w:pPr>
    </w:p>
    <w:p w14:paraId="1F9BCFF9" w14:textId="77777777" w:rsidR="000F487D" w:rsidRDefault="000F487D">
      <w:pPr>
        <w:jc w:val="both"/>
        <w:rPr>
          <w:b/>
          <w:u w:val="single"/>
        </w:rPr>
      </w:pPr>
    </w:p>
    <w:p w14:paraId="378639B5" w14:textId="77777777" w:rsidR="000F487D" w:rsidRDefault="00000000">
      <w:pPr>
        <w:ind w:left="2160" w:firstLine="720"/>
        <w:jc w:val="both"/>
        <w:rPr>
          <w:b/>
          <w:u w:val="single"/>
        </w:rPr>
      </w:pPr>
      <w:r>
        <w:rPr>
          <w:b/>
          <w:u w:val="single"/>
        </w:rPr>
        <w:t xml:space="preserve">Meal Expenses - With Non-Overnight Travel </w:t>
      </w:r>
    </w:p>
    <w:p w14:paraId="33609BB6" w14:textId="77777777" w:rsidR="000F487D" w:rsidRDefault="000F487D">
      <w:pPr>
        <w:jc w:val="both"/>
        <w:rPr>
          <w:sz w:val="20"/>
          <w:szCs w:val="20"/>
        </w:rPr>
      </w:pPr>
    </w:p>
    <w:p w14:paraId="1C426F7C" w14:textId="77777777" w:rsidR="000F487D" w:rsidRDefault="00000000">
      <w:pPr>
        <w:jc w:val="both"/>
        <w:rPr>
          <w:sz w:val="20"/>
          <w:szCs w:val="20"/>
        </w:rPr>
      </w:pPr>
      <w:r>
        <w:rPr>
          <w:sz w:val="20"/>
          <w:szCs w:val="20"/>
        </w:rPr>
        <w:t xml:space="preserve">Employees who travel more than 50 miles from headquarters on a work </w:t>
      </w:r>
      <w:proofErr w:type="gramStart"/>
      <w:r>
        <w:rPr>
          <w:sz w:val="20"/>
          <w:szCs w:val="20"/>
        </w:rPr>
        <w:t>assignment, and</w:t>
      </w:r>
      <w:proofErr w:type="gramEnd"/>
      <w:r>
        <w:rPr>
          <w:sz w:val="20"/>
          <w:szCs w:val="20"/>
        </w:rPr>
        <w:t xml:space="preserve"> are away for more than 12 hours may receive the total day’s per diem rate when there is no overnight lodging. Attach conference/meeting agenda to the employee travel expense form.</w:t>
      </w:r>
    </w:p>
    <w:p w14:paraId="3BBB9DC5" w14:textId="77777777" w:rsidR="000F487D" w:rsidRDefault="00000000">
      <w:pPr>
        <w:jc w:val="both"/>
        <w:rPr>
          <w:sz w:val="20"/>
          <w:szCs w:val="20"/>
        </w:rPr>
      </w:pPr>
      <w:r>
        <w:rPr>
          <w:sz w:val="20"/>
          <w:szCs w:val="20"/>
        </w:rPr>
        <w:t xml:space="preserve"> </w:t>
      </w:r>
    </w:p>
    <w:p w14:paraId="27A07179" w14:textId="77777777" w:rsidR="000F487D" w:rsidRDefault="000F487D">
      <w:pPr>
        <w:jc w:val="both"/>
        <w:rPr>
          <w:sz w:val="20"/>
          <w:szCs w:val="20"/>
        </w:rPr>
      </w:pPr>
    </w:p>
    <w:p w14:paraId="512DFFCE" w14:textId="77777777" w:rsidR="000F487D" w:rsidRDefault="00000000">
      <w:pPr>
        <w:jc w:val="both"/>
        <w:rPr>
          <w:b/>
          <w:u w:val="single"/>
        </w:rPr>
      </w:pPr>
      <w:r>
        <w:tab/>
      </w:r>
      <w:r>
        <w:tab/>
      </w:r>
      <w:r>
        <w:tab/>
      </w:r>
      <w:r>
        <w:tab/>
      </w:r>
      <w:r>
        <w:rPr>
          <w:b/>
          <w:u w:val="single"/>
        </w:rPr>
        <w:t>Lodging</w:t>
      </w:r>
    </w:p>
    <w:p w14:paraId="6CBB5B4C" w14:textId="77777777" w:rsidR="000F487D" w:rsidRDefault="000F487D">
      <w:pPr>
        <w:jc w:val="both"/>
        <w:rPr>
          <w:u w:val="single"/>
        </w:rPr>
      </w:pPr>
    </w:p>
    <w:p w14:paraId="6AAA6E2A" w14:textId="77777777" w:rsidR="000F487D" w:rsidRDefault="00000000">
      <w:pPr>
        <w:jc w:val="both"/>
      </w:pPr>
      <w:r>
        <w:t xml:space="preserve">The employee should select the least expensive option available taking into consideration proximity to the business destination and personal safety. The Employee or the travel arranger must inquire about the government rate availability, or the conference lodging rate, and select the lowest available rate. When the hotel or motel is the conference or convention site, reimbursement will be limited to the conference rate, if available. </w:t>
      </w:r>
    </w:p>
    <w:p w14:paraId="27512F54" w14:textId="77777777" w:rsidR="000F487D" w:rsidRDefault="000F487D">
      <w:pPr>
        <w:jc w:val="both"/>
      </w:pPr>
    </w:p>
    <w:p w14:paraId="70917CD5" w14:textId="77777777" w:rsidR="000F487D" w:rsidRDefault="00000000">
      <w:pPr>
        <w:jc w:val="both"/>
      </w:pPr>
      <w:r>
        <w:t xml:space="preserve">Employees on state business are allowed lodging expenses when their destination is located more than 50 miles from their work </w:t>
      </w:r>
      <w:proofErr w:type="gramStart"/>
      <w:r>
        <w:t>location  AND</w:t>
      </w:r>
      <w:proofErr w:type="gramEnd"/>
      <w:r>
        <w:t xml:space="preserve"> they are away for more than twelve (12) hours. </w:t>
      </w:r>
    </w:p>
    <w:p w14:paraId="186EF6FC" w14:textId="77777777" w:rsidR="000F487D" w:rsidRDefault="000F487D">
      <w:pPr>
        <w:jc w:val="both"/>
      </w:pPr>
    </w:p>
    <w:p w14:paraId="7405E1E8" w14:textId="77777777" w:rsidR="000F487D" w:rsidRDefault="00000000">
      <w:pPr>
        <w:jc w:val="both"/>
      </w:pPr>
      <w:r>
        <w:t xml:space="preserve">Written </w:t>
      </w:r>
      <w:r>
        <w:rPr>
          <w:u w:val="single"/>
        </w:rPr>
        <w:t>pre-approval</w:t>
      </w:r>
      <w:r>
        <w:t xml:space="preserve"> must be obtained from the Superintendent, when lodging is required within the 50-mile radius. </w:t>
      </w:r>
    </w:p>
    <w:p w14:paraId="20B8829C" w14:textId="77777777" w:rsidR="000F487D" w:rsidRDefault="000F487D">
      <w:pPr>
        <w:jc w:val="both"/>
      </w:pPr>
    </w:p>
    <w:p w14:paraId="617761ED" w14:textId="77777777" w:rsidR="000F487D" w:rsidRDefault="00000000">
      <w:pPr>
        <w:jc w:val="both"/>
      </w:pPr>
      <w:r>
        <w:t xml:space="preserve">Lodging rentals obtained through vacation rental marketplaces such as Airbnb, HomeAway, and </w:t>
      </w:r>
      <w:proofErr w:type="spellStart"/>
      <w:r>
        <w:t>Vrbo</w:t>
      </w:r>
      <w:proofErr w:type="spellEnd"/>
      <w:r>
        <w:t xml:space="preserve"> are not considered commercial lodging facilities and SHOULD NOT be used while in travel status. </w:t>
      </w:r>
    </w:p>
    <w:p w14:paraId="3BF4B756" w14:textId="77777777" w:rsidR="000F487D" w:rsidRDefault="000F487D">
      <w:pPr>
        <w:jc w:val="both"/>
      </w:pPr>
    </w:p>
    <w:p w14:paraId="362A29D9" w14:textId="77777777" w:rsidR="000F487D" w:rsidRDefault="00000000">
      <w:pPr>
        <w:jc w:val="both"/>
      </w:pPr>
      <w:r>
        <w:t xml:space="preserve">Upgraded room accommodations that incur an additional charge are not allowed. A complimentary upgrade should be noted on the expense report. Mandatory resort fees are reimbursable as lodging expenses. </w:t>
      </w:r>
    </w:p>
    <w:p w14:paraId="0A9427E0" w14:textId="77777777" w:rsidR="000F487D" w:rsidRDefault="000F487D">
      <w:pPr>
        <w:jc w:val="both"/>
      </w:pPr>
    </w:p>
    <w:p w14:paraId="70CA7F22" w14:textId="77777777" w:rsidR="000F487D" w:rsidRDefault="00000000">
      <w:pPr>
        <w:jc w:val="both"/>
      </w:pPr>
      <w:r>
        <w:t xml:space="preserve">Incidentals and Valet Parking are not a reimbursable expense. </w:t>
      </w:r>
    </w:p>
    <w:p w14:paraId="237C357D" w14:textId="77777777" w:rsidR="000F487D" w:rsidRDefault="000F487D">
      <w:pPr>
        <w:jc w:val="both"/>
      </w:pPr>
    </w:p>
    <w:p w14:paraId="6F1CB2E1" w14:textId="77777777" w:rsidR="000F487D" w:rsidRDefault="00000000">
      <w:pPr>
        <w:jc w:val="both"/>
      </w:pPr>
      <w:r>
        <w:t>Lodging requisitions should be sent to the county office at least 3 weeks prior to traveling. All tax exemption forms will be provided to the employee with the check prior to departure.</w:t>
      </w:r>
    </w:p>
    <w:p w14:paraId="3B0763F7" w14:textId="77777777" w:rsidR="000F487D" w:rsidRDefault="000F487D"/>
    <w:sectPr w:rsidR="000F48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7D"/>
    <w:rsid w:val="000F487D"/>
    <w:rsid w:val="0047201B"/>
    <w:rsid w:val="0084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5A54"/>
  <w15:docId w15:val="{169F02DF-C702-4AB5-8045-BEFDC23F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4671B"/>
    <w:rPr>
      <w:color w:val="0000FF" w:themeColor="hyperlink"/>
      <w:u w:val="single"/>
    </w:rPr>
  </w:style>
  <w:style w:type="character" w:styleId="UnresolvedMention">
    <w:name w:val="Unresolved Mention"/>
    <w:basedOn w:val="DefaultParagraphFont"/>
    <w:uiPriority w:val="99"/>
    <w:semiHidden/>
    <w:unhideWhenUsed/>
    <w:rsid w:val="0084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t.k12.ga.us/staff/staff-portal" TargetMode="External"/><Relationship Id="rId5" Type="http://schemas.openxmlformats.org/officeDocument/2006/relationships/hyperlink" Target="https://sao.georgia.gov/travel/state-travel-polic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Grayson Williams</cp:lastModifiedBy>
  <cp:revision>2</cp:revision>
  <dcterms:created xsi:type="dcterms:W3CDTF">2025-11-12T19:37:00Z</dcterms:created>
  <dcterms:modified xsi:type="dcterms:W3CDTF">2025-11-12T19:40:00Z</dcterms:modified>
</cp:coreProperties>
</file>