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4B79" w14:textId="77777777" w:rsidR="00360681" w:rsidRPr="00360681" w:rsidRDefault="00360681" w:rsidP="00360681">
      <w:pPr>
        <w:pStyle w:val="NormalWeb"/>
      </w:pPr>
      <w:r w:rsidRPr="00360681">
        <w:t> </w:t>
      </w:r>
    </w:p>
    <w:p w14:paraId="49AE931D" w14:textId="77777777" w:rsidR="00360681" w:rsidRPr="00360681" w:rsidRDefault="00360681" w:rsidP="00360681">
      <w:pPr>
        <w:pStyle w:val="NormalWeb"/>
      </w:pPr>
      <w:r w:rsidRPr="00360681">
        <w:t> </w:t>
      </w:r>
    </w:p>
    <w:p w14:paraId="677008C5" w14:textId="77777777" w:rsidR="00360681" w:rsidRPr="00360681" w:rsidRDefault="00360681" w:rsidP="00360681">
      <w:pPr>
        <w:pStyle w:val="NormalWeb"/>
        <w:rPr>
          <w:rFonts w:ascii="Times New Roman" w:hAnsi="Times New Roman"/>
          <w:b/>
          <w:bCs/>
          <w:color w:val="0070C0"/>
          <w:sz w:val="32"/>
          <w:szCs w:val="36"/>
        </w:rPr>
      </w:pPr>
      <w:r w:rsidRPr="00360681">
        <w:rPr>
          <w:rFonts w:ascii="Times New Roman" w:hAnsi="Times New Roman"/>
          <w:b/>
          <w:bCs/>
          <w:color w:val="0070C0"/>
          <w:sz w:val="32"/>
          <w:szCs w:val="36"/>
        </w:rPr>
        <w:t>Performance-Based Pathway for High School Graduation</w:t>
      </w:r>
    </w:p>
    <w:p w14:paraId="2A32A9C5" w14:textId="7343A2A5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 </w:t>
      </w:r>
      <w:r w:rsidRPr="00360681">
        <w:rPr>
          <w:color w:val="0070C0"/>
        </w:rPr>
        <w:br/>
      </w:r>
    </w:p>
    <w:p w14:paraId="74A7B288" w14:textId="77777777" w:rsidR="00360681" w:rsidRPr="00360681" w:rsidRDefault="00360681" w:rsidP="00360681">
      <w:pPr>
        <w:pStyle w:val="NormalWeb"/>
        <w:rPr>
          <w:color w:val="0070C0"/>
        </w:rPr>
      </w:pPr>
    </w:p>
    <w:p w14:paraId="60790A4C" w14:textId="6555B10C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 xml:space="preserve">The board is committed to providing graduation pathways that are student-focused, adaptable, rigorous, and meaningful ways for students to demonstrate appropriate readiness in support of their individualized career and college goals. As part of that commitment, the </w:t>
      </w:r>
      <w:r w:rsidRPr="00E80D8E">
        <w:rPr>
          <w:color w:val="0070C0"/>
        </w:rPr>
        <w:t>Klickitat</w:t>
      </w:r>
      <w:r w:rsidRPr="00360681">
        <w:rPr>
          <w:color w:val="0070C0"/>
        </w:rPr>
        <w:t xml:space="preserve"> School District offers multiple pathway options, including a performance-based pathway for high school graduation.</w:t>
      </w:r>
    </w:p>
    <w:p w14:paraId="1E8CE3A6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 </w:t>
      </w:r>
    </w:p>
    <w:p w14:paraId="1E060936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The performance-based pathway includes the following components:</w:t>
      </w:r>
    </w:p>
    <w:p w14:paraId="689C0F0B" w14:textId="77777777" w:rsidR="00360681" w:rsidRPr="00360681" w:rsidRDefault="00360681" w:rsidP="00360681">
      <w:pPr>
        <w:pStyle w:val="NormalWeb"/>
        <w:numPr>
          <w:ilvl w:val="0"/>
          <w:numId w:val="1"/>
        </w:numPr>
        <w:rPr>
          <w:color w:val="0070C0"/>
        </w:rPr>
      </w:pPr>
      <w:r w:rsidRPr="00360681">
        <w:rPr>
          <w:color w:val="0070C0"/>
        </w:rPr>
        <w:t>Proposal created by the student, or a learning contract for a performance-based pathway opportunity developed by a school or the district,</w:t>
      </w:r>
    </w:p>
    <w:p w14:paraId="45F9FC33" w14:textId="77777777" w:rsidR="00360681" w:rsidRPr="00360681" w:rsidRDefault="00360681" w:rsidP="00360681">
      <w:pPr>
        <w:pStyle w:val="NormalWeb"/>
        <w:numPr>
          <w:ilvl w:val="0"/>
          <w:numId w:val="1"/>
        </w:numPr>
        <w:rPr>
          <w:color w:val="0070C0"/>
        </w:rPr>
      </w:pPr>
      <w:r w:rsidRPr="00360681">
        <w:rPr>
          <w:color w:val="0070C0"/>
        </w:rPr>
        <w:t>Student Learning experience,</w:t>
      </w:r>
    </w:p>
    <w:p w14:paraId="224D1D40" w14:textId="77777777" w:rsidR="00360681" w:rsidRPr="00360681" w:rsidRDefault="00360681" w:rsidP="00360681">
      <w:pPr>
        <w:pStyle w:val="NormalWeb"/>
        <w:numPr>
          <w:ilvl w:val="0"/>
          <w:numId w:val="1"/>
        </w:numPr>
        <w:rPr>
          <w:color w:val="0070C0"/>
        </w:rPr>
      </w:pPr>
      <w:r w:rsidRPr="00360681">
        <w:rPr>
          <w:color w:val="0070C0"/>
        </w:rPr>
        <w:t>Product created by the student based on the learning experience that must demonstrate that the student has met learning standards in English Language Arts or math, and</w:t>
      </w:r>
    </w:p>
    <w:p w14:paraId="0367E93C" w14:textId="77777777" w:rsidR="00360681" w:rsidRPr="00360681" w:rsidRDefault="00360681" w:rsidP="00360681">
      <w:pPr>
        <w:pStyle w:val="NormalWeb"/>
        <w:numPr>
          <w:ilvl w:val="0"/>
          <w:numId w:val="1"/>
        </w:numPr>
        <w:rPr>
          <w:color w:val="0070C0"/>
        </w:rPr>
      </w:pPr>
      <w:r w:rsidRPr="00360681">
        <w:rPr>
          <w:color w:val="0070C0"/>
        </w:rPr>
        <w:t>Evaluation of the student product, performed locally, involving at least one teacher endorsed in the relevant subject area(s) using state-developed proficiency targets and associated rubrics.</w:t>
      </w:r>
    </w:p>
    <w:p w14:paraId="446B5320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 </w:t>
      </w:r>
    </w:p>
    <w:p w14:paraId="6460D288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 xml:space="preserve">The superintendent or </w:t>
      </w:r>
      <w:proofErr w:type="gramStart"/>
      <w:r w:rsidRPr="00360681">
        <w:rPr>
          <w:color w:val="0070C0"/>
        </w:rPr>
        <w:t>designee</w:t>
      </w:r>
      <w:proofErr w:type="gramEnd"/>
      <w:r w:rsidRPr="00360681">
        <w:rPr>
          <w:color w:val="0070C0"/>
        </w:rPr>
        <w:t xml:space="preserve"> will develop a process in accordance with the accompanying procedures for:</w:t>
      </w:r>
    </w:p>
    <w:p w14:paraId="7179986D" w14:textId="77777777" w:rsidR="00360681" w:rsidRPr="00360681" w:rsidRDefault="00360681" w:rsidP="00360681">
      <w:pPr>
        <w:pStyle w:val="NormalWeb"/>
        <w:numPr>
          <w:ilvl w:val="0"/>
          <w:numId w:val="2"/>
        </w:numPr>
        <w:rPr>
          <w:color w:val="0070C0"/>
        </w:rPr>
      </w:pPr>
      <w:r w:rsidRPr="00360681">
        <w:rPr>
          <w:color w:val="0070C0"/>
        </w:rPr>
        <w:t>Approving student proposals and performance-based pathway opportunities developed by a school or the district,</w:t>
      </w:r>
    </w:p>
    <w:p w14:paraId="60D97273" w14:textId="77777777" w:rsidR="00360681" w:rsidRPr="00360681" w:rsidRDefault="00360681" w:rsidP="00360681">
      <w:pPr>
        <w:pStyle w:val="NormalWeb"/>
        <w:numPr>
          <w:ilvl w:val="0"/>
          <w:numId w:val="2"/>
        </w:numPr>
        <w:rPr>
          <w:color w:val="0070C0"/>
        </w:rPr>
      </w:pPr>
      <w:r w:rsidRPr="00360681">
        <w:rPr>
          <w:color w:val="0070C0"/>
        </w:rPr>
        <w:t>Assessing student products, and</w:t>
      </w:r>
    </w:p>
    <w:p w14:paraId="11089280" w14:textId="77777777" w:rsidR="00360681" w:rsidRPr="00360681" w:rsidRDefault="00360681" w:rsidP="00360681">
      <w:pPr>
        <w:pStyle w:val="NormalWeb"/>
        <w:numPr>
          <w:ilvl w:val="0"/>
          <w:numId w:val="2"/>
        </w:numPr>
        <w:rPr>
          <w:color w:val="0070C0"/>
        </w:rPr>
      </w:pPr>
      <w:r w:rsidRPr="00360681">
        <w:rPr>
          <w:color w:val="0070C0"/>
        </w:rPr>
        <w:t>Addressing the safety of the student learning experience.</w:t>
      </w:r>
    </w:p>
    <w:p w14:paraId="10E9017C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 </w:t>
      </w:r>
    </w:p>
    <w:p w14:paraId="55EAA260" w14:textId="77777777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At least annually, the district will examine data on student groups participating in and completing each graduation pathway option offered by the school district according to RCW 28A.655.260.</w:t>
      </w:r>
    </w:p>
    <w:p w14:paraId="028094DB" w14:textId="77777777" w:rsidR="00360681" w:rsidRPr="00E80D8E" w:rsidRDefault="00360681" w:rsidP="00360681">
      <w:pPr>
        <w:pStyle w:val="NormalWeb"/>
        <w:rPr>
          <w:color w:val="0070C0"/>
        </w:rPr>
      </w:pPr>
    </w:p>
    <w:p w14:paraId="25641CC9" w14:textId="23760A94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Legal References</w:t>
      </w:r>
    </w:p>
    <w:p w14:paraId="0CB111AE" w14:textId="77777777" w:rsidR="00360681" w:rsidRPr="00360681" w:rsidRDefault="00360681" w:rsidP="00360681">
      <w:pPr>
        <w:pStyle w:val="NormalWeb"/>
        <w:ind w:left="720"/>
        <w:rPr>
          <w:color w:val="0070C0"/>
        </w:rPr>
      </w:pPr>
      <w:hyperlink r:id="rId7" w:tgtFrame="_blank" w:history="1">
        <w:r w:rsidRPr="00360681">
          <w:rPr>
            <w:rStyle w:val="Hyperlink"/>
            <w:color w:val="0070C0"/>
          </w:rPr>
          <w:t>WAC 180-51-050 High school credit  Definition</w:t>
        </w:r>
      </w:hyperlink>
    </w:p>
    <w:p w14:paraId="7FFFFEB3" w14:textId="77777777" w:rsidR="00360681" w:rsidRPr="00360681" w:rsidRDefault="00360681" w:rsidP="00360681">
      <w:pPr>
        <w:pStyle w:val="NormalWeb"/>
        <w:ind w:left="720"/>
        <w:rPr>
          <w:color w:val="0070C0"/>
        </w:rPr>
      </w:pPr>
      <w:hyperlink r:id="rId8" w:tgtFrame="_blank" w:history="1">
        <w:r w:rsidRPr="00360681">
          <w:rPr>
            <w:rStyle w:val="Hyperlink"/>
            <w:color w:val="0070C0"/>
          </w:rPr>
          <w:t>WAC 180-51-230 Graduation Pathway Options</w:t>
        </w:r>
      </w:hyperlink>
    </w:p>
    <w:p w14:paraId="1ADB059A" w14:textId="77777777" w:rsidR="00360681" w:rsidRPr="00360681" w:rsidRDefault="00360681" w:rsidP="00360681">
      <w:pPr>
        <w:pStyle w:val="NormalWeb"/>
        <w:ind w:left="720"/>
        <w:rPr>
          <w:color w:val="0070C0"/>
        </w:rPr>
      </w:pPr>
      <w:hyperlink r:id="rId9" w:tgtFrame="_blank" w:history="1">
        <w:r w:rsidRPr="00360681">
          <w:rPr>
            <w:rStyle w:val="Hyperlink"/>
            <w:color w:val="0070C0"/>
          </w:rPr>
          <w:t>RCW 28A.230.090 High school graduation requirements or equivalencies  Reevaluation of graduation requirements  Review and authorization of proposed changes  Credit for courses taken before attending high school  Postsecondary credit equivalencies</w:t>
        </w:r>
      </w:hyperlink>
    </w:p>
    <w:p w14:paraId="5F72A010" w14:textId="77777777" w:rsidR="00360681" w:rsidRPr="00360681" w:rsidRDefault="00360681" w:rsidP="00360681">
      <w:pPr>
        <w:pStyle w:val="NormalWeb"/>
        <w:ind w:left="720"/>
        <w:rPr>
          <w:color w:val="0070C0"/>
        </w:rPr>
      </w:pPr>
      <w:hyperlink r:id="rId10" w:tgtFrame="_blank" w:history="1">
        <w:r w:rsidRPr="00360681">
          <w:rPr>
            <w:rStyle w:val="Hyperlink"/>
            <w:color w:val="0070C0"/>
          </w:rPr>
          <w:t>RCW 28A.655.250 Graduation pathway options</w:t>
        </w:r>
      </w:hyperlink>
    </w:p>
    <w:p w14:paraId="4B736BB7" w14:textId="77777777" w:rsidR="00360681" w:rsidRPr="00360681" w:rsidRDefault="00360681" w:rsidP="00360681">
      <w:pPr>
        <w:pStyle w:val="NormalWeb"/>
        <w:ind w:left="720"/>
        <w:rPr>
          <w:color w:val="0070C0"/>
        </w:rPr>
      </w:pPr>
      <w:hyperlink r:id="rId11" w:tgtFrame="_blank" w:history="1">
        <w:r w:rsidRPr="00360681">
          <w:rPr>
            <w:rStyle w:val="Hyperlink"/>
            <w:color w:val="0070C0"/>
          </w:rPr>
          <w:t>RCW 28A.655.260 Graduation pathway optionsReview and monitoringParticipation data</w:t>
        </w:r>
      </w:hyperlink>
    </w:p>
    <w:p w14:paraId="098592DE" w14:textId="77777777" w:rsidR="00360681" w:rsidRPr="00E80D8E" w:rsidRDefault="00360681" w:rsidP="00360681">
      <w:pPr>
        <w:pStyle w:val="NormalWeb"/>
        <w:rPr>
          <w:color w:val="0070C0"/>
        </w:rPr>
      </w:pPr>
    </w:p>
    <w:p w14:paraId="25F82685" w14:textId="19DB34CE" w:rsidR="00360681" w:rsidRPr="00360681" w:rsidRDefault="00360681" w:rsidP="00360681">
      <w:pPr>
        <w:pStyle w:val="NormalWeb"/>
        <w:rPr>
          <w:color w:val="0070C0"/>
        </w:rPr>
      </w:pPr>
      <w:r w:rsidRPr="00360681">
        <w:rPr>
          <w:color w:val="0070C0"/>
        </w:rPr>
        <w:t>Cross References</w:t>
      </w:r>
    </w:p>
    <w:p w14:paraId="3BEA8A64" w14:textId="77777777" w:rsidR="00360681" w:rsidRPr="00360681" w:rsidRDefault="00360681" w:rsidP="00360681">
      <w:pPr>
        <w:pStyle w:val="NormalWeb"/>
        <w:ind w:firstLine="720"/>
        <w:rPr>
          <w:color w:val="0070C0"/>
        </w:rPr>
      </w:pPr>
      <w:hyperlink r:id="rId12" w:tgtFrame="_blank" w:history="1">
        <w:r w:rsidRPr="00360681">
          <w:rPr>
            <w:rStyle w:val="Hyperlink"/>
            <w:color w:val="0070C0"/>
          </w:rPr>
          <w:t>2410 - High School Graduation Requirements</w:t>
        </w:r>
      </w:hyperlink>
    </w:p>
    <w:p w14:paraId="4558F04D" w14:textId="77777777" w:rsidR="00360681" w:rsidRPr="00E80D8E" w:rsidRDefault="00360681" w:rsidP="00360681">
      <w:pPr>
        <w:pStyle w:val="NormalWeb"/>
        <w:rPr>
          <w:color w:val="0070C0"/>
        </w:rPr>
      </w:pPr>
    </w:p>
    <w:p w14:paraId="3BDB79F6" w14:textId="77777777" w:rsidR="00360681" w:rsidRDefault="00360681" w:rsidP="00360681">
      <w:pPr>
        <w:pStyle w:val="NormalWeb"/>
      </w:pPr>
    </w:p>
    <w:p w14:paraId="2C290A3D" w14:textId="77777777" w:rsidR="00360681" w:rsidRDefault="00360681" w:rsidP="00360681">
      <w:pPr>
        <w:pStyle w:val="NormalWeb"/>
      </w:pPr>
    </w:p>
    <w:p w14:paraId="79DD8532" w14:textId="2A836A01" w:rsidR="00360681" w:rsidRDefault="00360681" w:rsidP="00360681">
      <w:pPr>
        <w:pStyle w:val="NormalWeb"/>
      </w:pPr>
      <w:r w:rsidRPr="00360681">
        <w:rPr>
          <w:b/>
          <w:bCs/>
        </w:rPr>
        <w:lastRenderedPageBreak/>
        <w:t>Adoption Date:</w:t>
      </w:r>
      <w:r>
        <w:t xml:space="preserve"> November ??</w:t>
      </w:r>
      <w:r>
        <w:br/>
      </w:r>
      <w:r w:rsidRPr="00360681">
        <w:rPr>
          <w:b/>
          <w:bCs/>
        </w:rPr>
        <w:t>Classification:</w:t>
      </w:r>
      <w:r>
        <w:t xml:space="preserve"> </w:t>
      </w:r>
      <w:r w:rsidRPr="00360681">
        <w:t>Critical</w:t>
      </w:r>
      <w:r>
        <w:br/>
      </w:r>
      <w:r w:rsidRPr="00360681">
        <w:rPr>
          <w:b/>
          <w:bCs/>
        </w:rPr>
        <w:t>Revised Dates:</w:t>
      </w:r>
      <w:r>
        <w:t xml:space="preserve"> </w:t>
      </w:r>
      <w:r w:rsidRPr="00360681">
        <w:t>10.15</w:t>
      </w:r>
    </w:p>
    <w:p w14:paraId="5DBECE17" w14:textId="77777777" w:rsidR="00855DED" w:rsidRDefault="00855DED"/>
    <w:p w14:paraId="352B64DA" w14:textId="77777777" w:rsidR="00360681" w:rsidRDefault="00360681"/>
    <w:p w14:paraId="1E4116B5" w14:textId="77777777" w:rsidR="00360681" w:rsidRDefault="00360681"/>
    <w:p w14:paraId="1EAC0D1B" w14:textId="77777777" w:rsidR="00360681" w:rsidRPr="00360681" w:rsidRDefault="00360681" w:rsidP="00360681">
      <w:pPr>
        <w:pStyle w:val="NormalWeb"/>
      </w:pPr>
      <w:r w:rsidRPr="00360681">
        <w:t>© 2020-2025 Washington State School Directors' Association. All rights reserved.</w:t>
      </w:r>
    </w:p>
    <w:p w14:paraId="199C5D17" w14:textId="77777777" w:rsidR="00360681" w:rsidRDefault="00360681"/>
    <w:sectPr w:rsidR="0036068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ECE3C" w14:textId="77777777" w:rsidR="00360681" w:rsidRDefault="00360681" w:rsidP="00360681">
      <w:pPr>
        <w:spacing w:after="0" w:line="240" w:lineRule="auto"/>
      </w:pPr>
      <w:r>
        <w:separator/>
      </w:r>
    </w:p>
  </w:endnote>
  <w:endnote w:type="continuationSeparator" w:id="0">
    <w:p w14:paraId="01BD2F8C" w14:textId="77777777" w:rsidR="00360681" w:rsidRDefault="00360681" w:rsidP="003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6B5E" w14:textId="77777777" w:rsidR="00360681" w:rsidRDefault="00360681" w:rsidP="00360681">
      <w:pPr>
        <w:spacing w:after="0" w:line="240" w:lineRule="auto"/>
      </w:pPr>
      <w:r>
        <w:separator/>
      </w:r>
    </w:p>
  </w:footnote>
  <w:footnote w:type="continuationSeparator" w:id="0">
    <w:p w14:paraId="3297DF14" w14:textId="77777777" w:rsidR="00360681" w:rsidRDefault="00360681" w:rsidP="0036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F1E0" w14:textId="092703BD" w:rsidR="00360681" w:rsidRPr="00360681" w:rsidRDefault="00360681" w:rsidP="00360681">
    <w:pPr>
      <w:pStyle w:val="Header"/>
      <w:jc w:val="right"/>
      <w:rPr>
        <w:rFonts w:ascii="Times New Roman" w:hAnsi="Times New Roman" w:cs="Times New Roman"/>
      </w:rPr>
    </w:pPr>
    <w:r w:rsidRPr="00360681">
      <w:rPr>
        <w:rFonts w:ascii="Times New Roman" w:hAnsi="Times New Roman" w:cs="Times New Roman"/>
      </w:rPr>
      <w:t>Policy 2415</w:t>
    </w:r>
  </w:p>
  <w:p w14:paraId="48A7658B" w14:textId="31DBA0B6" w:rsidR="00360681" w:rsidRPr="00360681" w:rsidRDefault="00360681" w:rsidP="00360681">
    <w:pPr>
      <w:pStyle w:val="Header"/>
      <w:jc w:val="right"/>
      <w:rPr>
        <w:rFonts w:ascii="Times New Roman" w:hAnsi="Times New Roman" w:cs="Times New Roman"/>
      </w:rPr>
    </w:pPr>
    <w:r w:rsidRPr="00360681">
      <w:rPr>
        <w:rFonts w:ascii="Times New Roman" w:hAnsi="Times New Roman" w:cs="Times New Roman"/>
      </w:rPr>
      <w:t>Instruction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18C8"/>
    <w:multiLevelType w:val="multilevel"/>
    <w:tmpl w:val="C2F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A160C4"/>
    <w:multiLevelType w:val="multilevel"/>
    <w:tmpl w:val="155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283243">
    <w:abstractNumId w:val="0"/>
  </w:num>
  <w:num w:numId="2" w16cid:durableId="73978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81"/>
    <w:rsid w:val="000B30DA"/>
    <w:rsid w:val="00360681"/>
    <w:rsid w:val="005E471F"/>
    <w:rsid w:val="00855DED"/>
    <w:rsid w:val="00D2598F"/>
    <w:rsid w:val="00E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00F1"/>
  <w15:chartTrackingRefBased/>
  <w15:docId w15:val="{6F93460A-18F0-4A89-856F-BC13CD1C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uiPriority w:val="99"/>
    <w:unhideWhenUsed/>
    <w:rsid w:val="00360681"/>
    <w:pPr>
      <w:spacing w:after="0" w:line="240" w:lineRule="auto"/>
    </w:pPr>
    <w:rPr>
      <w:rFonts w:ascii="Verdana" w:eastAsia="Verdana" w:hAnsi="Verdana" w:cs="Times New Roman"/>
      <w:kern w:val="0"/>
      <w:sz w:val="2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60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8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681"/>
  </w:style>
  <w:style w:type="paragraph" w:styleId="Footer">
    <w:name w:val="footer"/>
    <w:basedOn w:val="Normal"/>
    <w:link w:val="FooterChar"/>
    <w:uiPriority w:val="99"/>
    <w:unhideWhenUsed/>
    <w:rsid w:val="003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wac/default.aspx?cite=180-51-230&amp;pdf=tru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leg.wa.gov/wac/default.aspx?cite=180-51-050" TargetMode="External"/><Relationship Id="rId12" Type="http://schemas.openxmlformats.org/officeDocument/2006/relationships/hyperlink" Target="https://go.boarddocs.com/wa/wssda/MC.nsf/Index?open&amp;policyid=8U6PJT6466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leg.wa.gov/RCW/default.aspx?Cite=28A.655.2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pp.leg.wa.gov/rcw/default.aspx?cite=28A.655.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leg.wa.gov/rcw/default.aspx?cite=28A.230.0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Dillon</dc:creator>
  <cp:keywords/>
  <dc:description/>
  <cp:lastModifiedBy>Jeff Dillon</cp:lastModifiedBy>
  <cp:revision>2</cp:revision>
  <dcterms:created xsi:type="dcterms:W3CDTF">2025-10-21T15:13:00Z</dcterms:created>
  <dcterms:modified xsi:type="dcterms:W3CDTF">2025-10-21T15:17:00Z</dcterms:modified>
</cp:coreProperties>
</file>