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B3CBB" w14:textId="38EA62E2" w:rsidR="00967DF2" w:rsidRPr="00967DF2" w:rsidRDefault="00967DF2" w:rsidP="00967DF2">
      <w:pPr>
        <w:pStyle w:val="Heading1"/>
        <w:rPr>
          <w:color w:val="0070C0"/>
        </w:rPr>
      </w:pPr>
      <w:r w:rsidRPr="00967DF2">
        <w:rPr>
          <w:color w:val="0070C0"/>
        </w:rPr>
        <w:t>ALTERNATIVE LEARNING EXPERIENCE COURSES</w:t>
      </w:r>
      <w:r w:rsidRPr="00967DF2">
        <w:rPr>
          <w:color w:val="0070C0"/>
        </w:rPr>
        <w:t xml:space="preserve"> </w:t>
      </w:r>
    </w:p>
    <w:p w14:paraId="760B1D66" w14:textId="77777777" w:rsidR="00967DF2" w:rsidRPr="00967DF2" w:rsidRDefault="00967DF2" w:rsidP="00967DF2">
      <w:pPr>
        <w:pStyle w:val="BodyText"/>
        <w:rPr>
          <w:color w:val="0070C0"/>
        </w:rPr>
      </w:pPr>
      <w:r w:rsidRPr="00967DF2">
        <w:rPr>
          <w:color w:val="0070C0"/>
        </w:rPr>
        <w:t> </w:t>
      </w:r>
    </w:p>
    <w:p w14:paraId="26A58C97" w14:textId="0D90594E" w:rsidR="00967DF2" w:rsidRPr="00967DF2" w:rsidRDefault="00967DF2" w:rsidP="00967DF2">
      <w:pPr>
        <w:pStyle w:val="BodyText"/>
        <w:rPr>
          <w:color w:val="0070C0"/>
        </w:rPr>
      </w:pPr>
      <w:r w:rsidRPr="00967DF2">
        <w:rPr>
          <w:color w:val="0070C0"/>
        </w:rPr>
        <w:t>The board authorizes the creation of alternative learning experience (ALE) courses, as defined in the procedure which accompanies this policy.</w:t>
      </w:r>
    </w:p>
    <w:p w14:paraId="380F435D" w14:textId="77777777" w:rsidR="00967DF2" w:rsidRPr="00967DF2" w:rsidRDefault="00967DF2" w:rsidP="00967DF2">
      <w:pPr>
        <w:pStyle w:val="BodyText"/>
        <w:rPr>
          <w:color w:val="0070C0"/>
        </w:rPr>
      </w:pPr>
      <w:r w:rsidRPr="00967DF2">
        <w:rPr>
          <w:color w:val="0070C0"/>
        </w:rPr>
        <w:t xml:space="preserve">The district will make available to students enrolled in </w:t>
      </w:r>
      <w:proofErr w:type="gramStart"/>
      <w:r w:rsidRPr="00967DF2">
        <w:rPr>
          <w:color w:val="0070C0"/>
        </w:rPr>
        <w:t>an ALE</w:t>
      </w:r>
      <w:proofErr w:type="gramEnd"/>
      <w:r w:rsidRPr="00967DF2">
        <w:rPr>
          <w:color w:val="0070C0"/>
        </w:rPr>
        <w:t xml:space="preserve"> courses educational opportunities designed to meet their individual needs. The district will comply with all program requirements necessary to count an ALE as a course of study and ensure state funding for ALE students.</w:t>
      </w:r>
    </w:p>
    <w:p w14:paraId="3C981DB4" w14:textId="77777777" w:rsidR="00967DF2" w:rsidRPr="00967DF2" w:rsidRDefault="00967DF2" w:rsidP="00967DF2">
      <w:pPr>
        <w:pStyle w:val="BodyText"/>
        <w:rPr>
          <w:color w:val="0070C0"/>
        </w:rPr>
      </w:pPr>
      <w:r w:rsidRPr="00967DF2">
        <w:rPr>
          <w:color w:val="0070C0"/>
        </w:rPr>
        <w:t>ALE programs may include the following types of courses as defined in RCW 28A.232.010:</w:t>
      </w:r>
    </w:p>
    <w:p w14:paraId="32B850D7" w14:textId="77777777" w:rsidR="00967DF2" w:rsidRPr="00967DF2" w:rsidRDefault="00967DF2" w:rsidP="00967DF2">
      <w:pPr>
        <w:pStyle w:val="BodyText"/>
        <w:numPr>
          <w:ilvl w:val="0"/>
          <w:numId w:val="5"/>
        </w:numPr>
        <w:rPr>
          <w:color w:val="0070C0"/>
        </w:rPr>
      </w:pPr>
      <w:r w:rsidRPr="00967DF2">
        <w:rPr>
          <w:color w:val="0070C0"/>
        </w:rPr>
        <w:t>Online courses </w:t>
      </w:r>
      <w:r w:rsidRPr="00967DF2">
        <w:rPr>
          <w:i/>
          <w:iCs/>
          <w:color w:val="0070C0"/>
        </w:rPr>
        <w:t>(See Policy 2024, Online Learning</w:t>
      </w:r>
      <w:proofErr w:type="gramStart"/>
      <w:r w:rsidRPr="00967DF2">
        <w:rPr>
          <w:i/>
          <w:iCs/>
          <w:color w:val="0070C0"/>
        </w:rPr>
        <w:t>)</w:t>
      </w:r>
      <w:r w:rsidRPr="00967DF2">
        <w:rPr>
          <w:color w:val="0070C0"/>
        </w:rPr>
        <w:t>;</w:t>
      </w:r>
      <w:proofErr w:type="gramEnd"/>
    </w:p>
    <w:p w14:paraId="640228C3" w14:textId="77777777" w:rsidR="00967DF2" w:rsidRPr="00967DF2" w:rsidRDefault="00967DF2" w:rsidP="00967DF2">
      <w:pPr>
        <w:pStyle w:val="BodyText"/>
        <w:numPr>
          <w:ilvl w:val="0"/>
          <w:numId w:val="5"/>
        </w:numPr>
        <w:rPr>
          <w:color w:val="0070C0"/>
        </w:rPr>
      </w:pPr>
      <w:r w:rsidRPr="00967DF2">
        <w:rPr>
          <w:color w:val="0070C0"/>
        </w:rPr>
        <w:t>Remote courses; and</w:t>
      </w:r>
    </w:p>
    <w:p w14:paraId="41E2A6D1" w14:textId="77777777" w:rsidR="00967DF2" w:rsidRPr="00967DF2" w:rsidRDefault="00967DF2" w:rsidP="00967DF2">
      <w:pPr>
        <w:pStyle w:val="BodyText"/>
        <w:numPr>
          <w:ilvl w:val="0"/>
          <w:numId w:val="5"/>
        </w:numPr>
        <w:rPr>
          <w:color w:val="0070C0"/>
        </w:rPr>
      </w:pPr>
      <w:r w:rsidRPr="00967DF2">
        <w:rPr>
          <w:color w:val="0070C0"/>
        </w:rPr>
        <w:t>Site-based courses.</w:t>
      </w:r>
    </w:p>
    <w:p w14:paraId="735377C7" w14:textId="3165CDFE" w:rsidR="00967DF2" w:rsidRPr="00967DF2" w:rsidRDefault="00967DF2" w:rsidP="00967DF2">
      <w:pPr>
        <w:pStyle w:val="BodyText"/>
        <w:rPr>
          <w:color w:val="0070C0"/>
        </w:rPr>
      </w:pPr>
      <w:r w:rsidRPr="00967DF2">
        <w:rPr>
          <w:color w:val="0070C0"/>
        </w:rPr>
        <w:t>The board will adopt and annually review written policies authorizing ALE courses, including each ALE course and course provider. The policy must designate, by title, one or more school district official(s) responsible for overseeing the district's ALE courses.</w:t>
      </w:r>
    </w:p>
    <w:p w14:paraId="6426F1D8" w14:textId="77777777" w:rsidR="00967DF2" w:rsidRPr="00967DF2" w:rsidRDefault="00967DF2" w:rsidP="00967DF2">
      <w:pPr>
        <w:pStyle w:val="BodyText"/>
        <w:rPr>
          <w:color w:val="0070C0"/>
        </w:rPr>
      </w:pPr>
      <w:r w:rsidRPr="00967DF2">
        <w:rPr>
          <w:color w:val="0070C0"/>
        </w:rPr>
        <w:t>The district establishes the following alternative courses(s) provided on site, remote, or online, as defined in </w:t>
      </w:r>
      <w:hyperlink r:id="rId7" w:tgtFrame="_blank" w:history="1">
        <w:r w:rsidRPr="00967DF2">
          <w:rPr>
            <w:rStyle w:val="Hyperlink"/>
            <w:color w:val="0070C0"/>
          </w:rPr>
          <w:t>WAC 392-550-020</w:t>
        </w:r>
      </w:hyperlink>
      <w:r w:rsidRPr="00967DF2">
        <w:rPr>
          <w:color w:val="0070C0"/>
        </w:rPr>
        <w:t>:</w:t>
      </w:r>
    </w:p>
    <w:p w14:paraId="441CB422" w14:textId="781C0B99" w:rsidR="00967DF2" w:rsidRPr="00967DF2" w:rsidRDefault="00967DF2" w:rsidP="00967DF2">
      <w:pPr>
        <w:pStyle w:val="BodyText"/>
        <w:rPr>
          <w:color w:val="0070C0"/>
        </w:rPr>
      </w:pPr>
      <w:r w:rsidRPr="00967DF2">
        <w:rPr>
          <w:color w:val="0070C0"/>
        </w:rPr>
        <w:t> </w:t>
      </w:r>
      <w:r w:rsidRPr="00967DF2">
        <w:rPr>
          <w:color w:val="0070C0"/>
        </w:rPr>
        <w:t xml:space="preserve">The school principal and counselor are responsible for supervising and overseeing these programs. Contact the school administration for course names and providers. </w:t>
      </w:r>
      <w:r w:rsidRPr="00967DF2">
        <w:rPr>
          <w:color w:val="0070C0"/>
        </w:rPr>
        <w:t> </w:t>
      </w:r>
    </w:p>
    <w:p w14:paraId="1C3765DA" w14:textId="77777777" w:rsidR="00967DF2" w:rsidRPr="00967DF2" w:rsidRDefault="00967DF2" w:rsidP="00967DF2">
      <w:pPr>
        <w:pStyle w:val="BodyText"/>
        <w:rPr>
          <w:color w:val="0070C0"/>
        </w:rPr>
      </w:pPr>
      <w:r w:rsidRPr="00967DF2">
        <w:rPr>
          <w:b/>
          <w:bCs/>
          <w:color w:val="0070C0"/>
        </w:rPr>
        <w:t>Reporting Requirements</w:t>
      </w:r>
    </w:p>
    <w:p w14:paraId="144B2C72" w14:textId="77777777" w:rsidR="00967DF2" w:rsidRPr="00967DF2" w:rsidRDefault="00967DF2" w:rsidP="00967DF2">
      <w:pPr>
        <w:pStyle w:val="BodyText"/>
        <w:numPr>
          <w:ilvl w:val="0"/>
          <w:numId w:val="6"/>
        </w:numPr>
        <w:rPr>
          <w:color w:val="0070C0"/>
        </w:rPr>
      </w:pPr>
      <w:r w:rsidRPr="00967DF2">
        <w:rPr>
          <w:b/>
          <w:bCs/>
          <w:color w:val="0070C0"/>
        </w:rPr>
        <w:t>Annual Report to the Board of Directors</w:t>
      </w:r>
      <w:r w:rsidRPr="00967DF2">
        <w:rPr>
          <w:color w:val="0070C0"/>
        </w:rPr>
        <w:br/>
        <w:t>The school district official responsible for overseeing each ALE course will report at least annually to the board. This annual report will include at least the following:</w:t>
      </w:r>
    </w:p>
    <w:p w14:paraId="22F4D97F" w14:textId="77777777" w:rsidR="00967DF2" w:rsidRPr="00967DF2" w:rsidRDefault="00967DF2" w:rsidP="00967DF2">
      <w:pPr>
        <w:pStyle w:val="BodyText"/>
        <w:numPr>
          <w:ilvl w:val="1"/>
          <w:numId w:val="6"/>
        </w:numPr>
        <w:rPr>
          <w:color w:val="0070C0"/>
        </w:rPr>
      </w:pPr>
      <w:r w:rsidRPr="00967DF2">
        <w:rPr>
          <w:color w:val="0070C0"/>
        </w:rPr>
        <w:t xml:space="preserve">Documentation of ALE student headcount and full-time equivalent enrollment claimed for basic education </w:t>
      </w:r>
      <w:proofErr w:type="gramStart"/>
      <w:r w:rsidRPr="00967DF2">
        <w:rPr>
          <w:color w:val="0070C0"/>
        </w:rPr>
        <w:t>funding;</w:t>
      </w:r>
      <w:proofErr w:type="gramEnd"/>
    </w:p>
    <w:p w14:paraId="2648ACF0" w14:textId="77777777" w:rsidR="00967DF2" w:rsidRPr="00967DF2" w:rsidRDefault="00967DF2" w:rsidP="00967DF2">
      <w:pPr>
        <w:pStyle w:val="BodyText"/>
        <w:numPr>
          <w:ilvl w:val="1"/>
          <w:numId w:val="6"/>
        </w:numPr>
        <w:rPr>
          <w:color w:val="0070C0"/>
        </w:rPr>
      </w:pPr>
      <w:r w:rsidRPr="00967DF2">
        <w:rPr>
          <w:color w:val="0070C0"/>
        </w:rPr>
        <w:t>Identification of the overall ratio of certificated instructional staff to full-time equivalent students enrolled in each ALE course; the number of certificated staff in each ALE course; and</w:t>
      </w:r>
    </w:p>
    <w:p w14:paraId="4D1F37D2" w14:textId="77777777" w:rsidR="00967DF2" w:rsidRPr="00967DF2" w:rsidRDefault="00967DF2" w:rsidP="00967DF2">
      <w:pPr>
        <w:pStyle w:val="BodyText"/>
        <w:numPr>
          <w:ilvl w:val="1"/>
          <w:numId w:val="6"/>
        </w:numPr>
        <w:rPr>
          <w:color w:val="0070C0"/>
        </w:rPr>
      </w:pPr>
      <w:r w:rsidRPr="00967DF2">
        <w:rPr>
          <w:color w:val="0070C0"/>
        </w:rPr>
        <w:t>A description of how the course supports the district's overall goals and objectives for student academic achievement.</w:t>
      </w:r>
    </w:p>
    <w:p w14:paraId="41AD5BD0" w14:textId="77777777" w:rsidR="00967DF2" w:rsidRPr="00967DF2" w:rsidRDefault="00967DF2" w:rsidP="00967DF2">
      <w:pPr>
        <w:pStyle w:val="BodyText"/>
        <w:numPr>
          <w:ilvl w:val="0"/>
          <w:numId w:val="6"/>
        </w:numPr>
        <w:rPr>
          <w:color w:val="0070C0"/>
        </w:rPr>
      </w:pPr>
      <w:r w:rsidRPr="00967DF2">
        <w:rPr>
          <w:b/>
          <w:bCs/>
          <w:color w:val="0070C0"/>
        </w:rPr>
        <w:t>Monthly Report to the Superintendent of Public Instruction</w:t>
      </w:r>
      <w:r w:rsidRPr="00967DF2">
        <w:rPr>
          <w:color w:val="0070C0"/>
        </w:rPr>
        <w:br/>
        <w:t>The district must report monthly to the Superintendent of Public Instruction:</w:t>
      </w:r>
    </w:p>
    <w:p w14:paraId="32A82350" w14:textId="77777777" w:rsidR="00967DF2" w:rsidRPr="00967DF2" w:rsidRDefault="00967DF2" w:rsidP="00967DF2">
      <w:pPr>
        <w:pStyle w:val="BodyText"/>
        <w:numPr>
          <w:ilvl w:val="1"/>
          <w:numId w:val="6"/>
        </w:numPr>
        <w:rPr>
          <w:color w:val="0070C0"/>
        </w:rPr>
      </w:pPr>
      <w:r w:rsidRPr="00967DF2">
        <w:rPr>
          <w:color w:val="0070C0"/>
        </w:rPr>
        <w:t>Accurate monthly headcount and full-time equivalent enrollment for students enrolled in alternative learning experiences; and</w:t>
      </w:r>
    </w:p>
    <w:p w14:paraId="775F8B5A" w14:textId="77777777" w:rsidR="00967DF2" w:rsidRPr="00967DF2" w:rsidRDefault="00967DF2" w:rsidP="00967DF2">
      <w:pPr>
        <w:pStyle w:val="BodyText"/>
        <w:numPr>
          <w:ilvl w:val="1"/>
          <w:numId w:val="6"/>
        </w:numPr>
        <w:rPr>
          <w:color w:val="0070C0"/>
        </w:rPr>
      </w:pPr>
      <w:r w:rsidRPr="00967DF2">
        <w:rPr>
          <w:color w:val="0070C0"/>
        </w:rPr>
        <w:t xml:space="preserve">Information about the </w:t>
      </w:r>
      <w:proofErr w:type="gramStart"/>
      <w:r w:rsidRPr="00967DF2">
        <w:rPr>
          <w:color w:val="0070C0"/>
        </w:rPr>
        <w:t>resident</w:t>
      </w:r>
      <w:proofErr w:type="gramEnd"/>
      <w:r w:rsidRPr="00967DF2">
        <w:rPr>
          <w:color w:val="0070C0"/>
        </w:rPr>
        <w:t xml:space="preserve"> and serving districts of such students.</w:t>
      </w:r>
    </w:p>
    <w:p w14:paraId="2771ECFD" w14:textId="77777777" w:rsidR="00967DF2" w:rsidRPr="00967DF2" w:rsidRDefault="00967DF2" w:rsidP="00967DF2">
      <w:pPr>
        <w:pStyle w:val="BodyText"/>
        <w:numPr>
          <w:ilvl w:val="0"/>
          <w:numId w:val="6"/>
        </w:numPr>
        <w:rPr>
          <w:color w:val="0070C0"/>
        </w:rPr>
      </w:pPr>
      <w:r w:rsidRPr="00967DF2">
        <w:rPr>
          <w:b/>
          <w:bCs/>
          <w:color w:val="0070C0"/>
        </w:rPr>
        <w:t>Regular Submissions to CEDARS</w:t>
      </w:r>
    </w:p>
    <w:p w14:paraId="589D71F6" w14:textId="77777777" w:rsidR="00967DF2" w:rsidRPr="00967DF2" w:rsidRDefault="00967DF2" w:rsidP="00967DF2">
      <w:pPr>
        <w:pStyle w:val="BodyText"/>
        <w:rPr>
          <w:color w:val="0070C0"/>
        </w:rPr>
      </w:pPr>
      <w:r w:rsidRPr="00967DF2">
        <w:rPr>
          <w:color w:val="0070C0"/>
        </w:rPr>
        <w:t xml:space="preserve">The district must report all required information to the office of superintendent of public instruction's Comprehensive Education Data and Research System under RCW 28A.300.500, including designating alternative learning experience courses </w:t>
      </w:r>
      <w:proofErr w:type="gramStart"/>
      <w:r w:rsidRPr="00967DF2">
        <w:rPr>
          <w:color w:val="0070C0"/>
        </w:rPr>
        <w:t>as such when</w:t>
      </w:r>
      <w:proofErr w:type="gramEnd"/>
      <w:r w:rsidRPr="00967DF2">
        <w:rPr>
          <w:color w:val="0070C0"/>
        </w:rPr>
        <w:t xml:space="preserve"> reporting course information to the Comprehensive Education Data and Research System.</w:t>
      </w:r>
    </w:p>
    <w:p w14:paraId="2B29D238" w14:textId="77777777" w:rsidR="00967DF2" w:rsidRPr="00967DF2" w:rsidRDefault="00967DF2" w:rsidP="00967DF2">
      <w:pPr>
        <w:pStyle w:val="BodyText"/>
        <w:numPr>
          <w:ilvl w:val="0"/>
          <w:numId w:val="7"/>
        </w:numPr>
        <w:rPr>
          <w:color w:val="0070C0"/>
        </w:rPr>
      </w:pPr>
      <w:r w:rsidRPr="00967DF2">
        <w:rPr>
          <w:b/>
          <w:bCs/>
          <w:color w:val="0070C0"/>
        </w:rPr>
        <w:lastRenderedPageBreak/>
        <w:t>Annual Report to the Superintendent of Public Instruction</w:t>
      </w:r>
      <w:r w:rsidRPr="00967DF2">
        <w:rPr>
          <w:color w:val="0070C0"/>
        </w:rPr>
        <w:br/>
        <w:t>​The district must report annually to the Superintendent of Public Instruction:</w:t>
      </w:r>
    </w:p>
    <w:p w14:paraId="7E727EBD" w14:textId="77777777" w:rsidR="00967DF2" w:rsidRPr="00967DF2" w:rsidRDefault="00967DF2" w:rsidP="00967DF2">
      <w:pPr>
        <w:pStyle w:val="BodyText"/>
        <w:numPr>
          <w:ilvl w:val="1"/>
          <w:numId w:val="7"/>
        </w:numPr>
        <w:rPr>
          <w:color w:val="0070C0"/>
        </w:rPr>
      </w:pPr>
      <w:r w:rsidRPr="00967DF2">
        <w:rPr>
          <w:color w:val="0070C0"/>
        </w:rPr>
        <w:t>the number of certificated instructional staff full-time equivalent assigned to each alternative learning experience program; and</w:t>
      </w:r>
    </w:p>
    <w:p w14:paraId="0975150B" w14:textId="77777777" w:rsidR="00967DF2" w:rsidRPr="00967DF2" w:rsidRDefault="00967DF2" w:rsidP="00967DF2">
      <w:pPr>
        <w:pStyle w:val="BodyText"/>
        <w:numPr>
          <w:ilvl w:val="1"/>
          <w:numId w:val="7"/>
        </w:numPr>
        <w:rPr>
          <w:color w:val="0070C0"/>
        </w:rPr>
      </w:pPr>
      <w:r w:rsidRPr="00967DF2">
        <w:rPr>
          <w:color w:val="0070C0"/>
        </w:rPr>
        <w:t>enrollment of students (separately identified) where ALE instruction is provided entirely under contract pursuant to RCW 28A.150.305 and WAC 392-121-188.</w:t>
      </w:r>
    </w:p>
    <w:p w14:paraId="6BB50E8D" w14:textId="77777777" w:rsidR="00967DF2" w:rsidRPr="00967DF2" w:rsidRDefault="00967DF2" w:rsidP="00967DF2">
      <w:pPr>
        <w:pStyle w:val="BodyText"/>
        <w:numPr>
          <w:ilvl w:val="1"/>
          <w:numId w:val="7"/>
        </w:numPr>
        <w:rPr>
          <w:color w:val="0070C0"/>
        </w:rPr>
      </w:pPr>
      <w:r w:rsidRPr="00967DF2">
        <w:rPr>
          <w:color w:val="0070C0"/>
        </w:rPr>
        <w:t>the costs and purposes of any expenditures made to purchase or contract for instructional or co-curricular experiences and services that are included in an ALE written student learning plan, along with the substantially similar experiences or services made available to students enrolled in the district's regular instructional program.</w:t>
      </w:r>
    </w:p>
    <w:p w14:paraId="32D665BA" w14:textId="66F5E5BD" w:rsidR="00967DF2" w:rsidRPr="00967DF2" w:rsidRDefault="00967DF2" w:rsidP="00967DF2">
      <w:pPr>
        <w:pStyle w:val="BodyText"/>
        <w:rPr>
          <w:color w:val="0070C0"/>
        </w:rPr>
      </w:pPr>
      <w:r w:rsidRPr="00967DF2">
        <w:rPr>
          <w:b/>
          <w:bCs/>
          <w:color w:val="0070C0"/>
        </w:rPr>
        <w:t>Assessment Requirements:</w:t>
      </w:r>
      <w:r w:rsidRPr="00967DF2">
        <w:rPr>
          <w:color w:val="0070C0"/>
        </w:rPr>
        <w:br/>
        <w:t xml:space="preserve">All students enrolled in alternative learning experience courses or course work must be assessed at least annually, using, for full-time students, </w:t>
      </w:r>
      <w:proofErr w:type="gramStart"/>
      <w:r w:rsidRPr="00967DF2">
        <w:rPr>
          <w:color w:val="0070C0"/>
        </w:rPr>
        <w:t>the state</w:t>
      </w:r>
      <w:proofErr w:type="gramEnd"/>
      <w:r w:rsidRPr="00967DF2">
        <w:rPr>
          <w:color w:val="0070C0"/>
        </w:rPr>
        <w:t xml:space="preserve"> assessment for the student's grade level and using any other annual assessments required by the district. </w:t>
      </w:r>
    </w:p>
    <w:p w14:paraId="66095E0B" w14:textId="77777777" w:rsidR="00967DF2" w:rsidRPr="00967DF2" w:rsidRDefault="00967DF2" w:rsidP="00967DF2">
      <w:pPr>
        <w:pStyle w:val="BodyText"/>
        <w:rPr>
          <w:color w:val="0070C0"/>
        </w:rPr>
      </w:pPr>
      <w:r w:rsidRPr="00967DF2">
        <w:rPr>
          <w:color w:val="0070C0"/>
        </w:rPr>
        <w:t>Part-time students whose ALE enrollment is claimed as greater than 0.8 FTE in any one month through the January count date must be included by the district in any required state or federal accountability reporting for that school year. However, part-time students who are either receiving home-based instruction under </w:t>
      </w:r>
      <w:hyperlink r:id="rId8" w:tgtFrame="_blank" w:history="1">
        <w:r w:rsidRPr="00967DF2">
          <w:rPr>
            <w:rStyle w:val="Hyperlink"/>
            <w:color w:val="0070C0"/>
          </w:rPr>
          <w:t>Chapter 28A.200, RCW</w:t>
        </w:r>
      </w:hyperlink>
      <w:r w:rsidRPr="00967DF2">
        <w:rPr>
          <w:color w:val="0070C0"/>
        </w:rPr>
        <w:t> or who are enrolled in an approved private school under </w:t>
      </w:r>
      <w:hyperlink r:id="rId9" w:tgtFrame="_blank" w:history="1">
        <w:r w:rsidRPr="00967DF2">
          <w:rPr>
            <w:rStyle w:val="Hyperlink"/>
            <w:color w:val="0070C0"/>
          </w:rPr>
          <w:t>Chapter 28A.195, RCW</w:t>
        </w:r>
      </w:hyperlink>
      <w:r w:rsidRPr="00967DF2">
        <w:rPr>
          <w:color w:val="0070C0"/>
        </w:rPr>
        <w:t> are not required to participate in the assessments required under </w:t>
      </w:r>
      <w:hyperlink r:id="rId10" w:tgtFrame="_blank" w:history="1">
        <w:r w:rsidRPr="00967DF2">
          <w:rPr>
            <w:rStyle w:val="Hyperlink"/>
            <w:color w:val="0070C0"/>
          </w:rPr>
          <w:t>Chapter 28A.655, RCW</w:t>
        </w:r>
      </w:hyperlink>
      <w:r w:rsidRPr="00967DF2">
        <w:rPr>
          <w:color w:val="0070C0"/>
        </w:rPr>
        <w:t>.</w:t>
      </w:r>
    </w:p>
    <w:p w14:paraId="1069C529" w14:textId="77777777" w:rsidR="00967DF2" w:rsidRPr="00967DF2" w:rsidRDefault="00967DF2" w:rsidP="00967DF2">
      <w:pPr>
        <w:pStyle w:val="BodyText"/>
        <w:rPr>
          <w:color w:val="0070C0"/>
        </w:rPr>
      </w:pPr>
      <w:r w:rsidRPr="00967DF2">
        <w:rPr>
          <w:color w:val="0070C0"/>
        </w:rPr>
        <w:t xml:space="preserve">Students enrolled in nonresident district alternative learning experience courses or course work who are unable to participate in required annual state assessments at the nonresident district must have the opportunity to participate in such required annual state assessments at the district of physical residence, subject to that district's planned testing schedule. It is the responsibility of the </w:t>
      </w:r>
      <w:proofErr w:type="gramStart"/>
      <w:r w:rsidRPr="00967DF2">
        <w:rPr>
          <w:color w:val="0070C0"/>
        </w:rPr>
        <w:t>nonresident</w:t>
      </w:r>
      <w:proofErr w:type="gramEnd"/>
      <w:r w:rsidRPr="00967DF2">
        <w:rPr>
          <w:color w:val="0070C0"/>
        </w:rPr>
        <w:t xml:space="preserve"> enrolling district to establish a written agreement with the district of physical residence that facilitates all necessary coordination between the districts and with the student and, where appropriate, the student's parent(s) to fulfill this requirement. Such coordination may include:</w:t>
      </w:r>
    </w:p>
    <w:p w14:paraId="44BD5E5B" w14:textId="77777777" w:rsidR="00967DF2" w:rsidRPr="00967DF2" w:rsidRDefault="00967DF2" w:rsidP="00967DF2">
      <w:pPr>
        <w:pStyle w:val="BodyText"/>
        <w:numPr>
          <w:ilvl w:val="0"/>
          <w:numId w:val="8"/>
        </w:numPr>
        <w:rPr>
          <w:color w:val="0070C0"/>
        </w:rPr>
      </w:pPr>
      <w:r w:rsidRPr="00967DF2">
        <w:rPr>
          <w:color w:val="0070C0"/>
        </w:rPr>
        <w:t xml:space="preserve">arranging for appropriate assessment </w:t>
      </w:r>
      <w:proofErr w:type="gramStart"/>
      <w:r w:rsidRPr="00967DF2">
        <w:rPr>
          <w:color w:val="0070C0"/>
        </w:rPr>
        <w:t>materials;</w:t>
      </w:r>
      <w:proofErr w:type="gramEnd"/>
    </w:p>
    <w:p w14:paraId="2FD9A632" w14:textId="77777777" w:rsidR="00967DF2" w:rsidRPr="00967DF2" w:rsidRDefault="00967DF2" w:rsidP="00967DF2">
      <w:pPr>
        <w:pStyle w:val="BodyText"/>
        <w:numPr>
          <w:ilvl w:val="0"/>
          <w:numId w:val="8"/>
        </w:numPr>
        <w:rPr>
          <w:color w:val="0070C0"/>
        </w:rPr>
      </w:pPr>
      <w:r w:rsidRPr="00967DF2">
        <w:rPr>
          <w:color w:val="0070C0"/>
        </w:rPr>
        <w:t xml:space="preserve">notifying the </w:t>
      </w:r>
      <w:proofErr w:type="gramStart"/>
      <w:r w:rsidRPr="00967DF2">
        <w:rPr>
          <w:color w:val="0070C0"/>
        </w:rPr>
        <w:t>student</w:t>
      </w:r>
      <w:proofErr w:type="gramEnd"/>
      <w:r w:rsidRPr="00967DF2">
        <w:rPr>
          <w:color w:val="0070C0"/>
        </w:rPr>
        <w:t xml:space="preserve"> of assessment administration </w:t>
      </w:r>
      <w:proofErr w:type="gramStart"/>
      <w:r w:rsidRPr="00967DF2">
        <w:rPr>
          <w:color w:val="0070C0"/>
        </w:rPr>
        <w:t>schedules;</w:t>
      </w:r>
      <w:proofErr w:type="gramEnd"/>
    </w:p>
    <w:p w14:paraId="4BC99D89" w14:textId="77777777" w:rsidR="00967DF2" w:rsidRPr="00967DF2" w:rsidRDefault="00967DF2" w:rsidP="00967DF2">
      <w:pPr>
        <w:pStyle w:val="BodyText"/>
        <w:numPr>
          <w:ilvl w:val="0"/>
          <w:numId w:val="8"/>
        </w:numPr>
        <w:rPr>
          <w:color w:val="0070C0"/>
        </w:rPr>
      </w:pPr>
      <w:r w:rsidRPr="00967DF2">
        <w:rPr>
          <w:color w:val="0070C0"/>
        </w:rPr>
        <w:t>arranging for the forwarding of completed assessment materials to the enrolling district for submission for scoring and reporting; and</w:t>
      </w:r>
    </w:p>
    <w:p w14:paraId="10AD74A7" w14:textId="77777777" w:rsidR="00967DF2" w:rsidRPr="00967DF2" w:rsidRDefault="00967DF2" w:rsidP="00967DF2">
      <w:pPr>
        <w:pStyle w:val="BodyText"/>
        <w:numPr>
          <w:ilvl w:val="0"/>
          <w:numId w:val="8"/>
        </w:numPr>
        <w:rPr>
          <w:color w:val="0070C0"/>
        </w:rPr>
      </w:pPr>
      <w:r w:rsidRPr="00967DF2">
        <w:rPr>
          <w:color w:val="0070C0"/>
        </w:rPr>
        <w:t xml:space="preserve">arranging for any allowable testing </w:t>
      </w:r>
      <w:proofErr w:type="gramStart"/>
      <w:r w:rsidRPr="00967DF2">
        <w:rPr>
          <w:color w:val="0070C0"/>
        </w:rPr>
        <w:t>accommodations</w:t>
      </w:r>
      <w:proofErr w:type="gramEnd"/>
      <w:r w:rsidRPr="00967DF2">
        <w:rPr>
          <w:color w:val="0070C0"/>
        </w:rPr>
        <w:t>, and other steps as may be necessary.</w:t>
      </w:r>
    </w:p>
    <w:p w14:paraId="6960E303" w14:textId="77777777" w:rsidR="00967DF2" w:rsidRPr="00967DF2" w:rsidRDefault="00967DF2" w:rsidP="00967DF2">
      <w:pPr>
        <w:pStyle w:val="BodyText"/>
        <w:rPr>
          <w:color w:val="0070C0"/>
        </w:rPr>
      </w:pPr>
      <w:r w:rsidRPr="00967DF2">
        <w:rPr>
          <w:color w:val="0070C0"/>
        </w:rPr>
        <w:t>The agreement may include rates and terms for payment of reasonable fees by the enrolling district to the district of physical residence to cover costs associated with planning for and administering the assessments to students not enrolled in the district of physical residence. Assessment results for students assessed according to these provisions must be included in the enrolling district's accountability measurements, and not in the district of physical residence's accountability measurements.</w:t>
      </w:r>
    </w:p>
    <w:p w14:paraId="44F1DAB5" w14:textId="77777777" w:rsidR="00967DF2" w:rsidRPr="00967DF2" w:rsidRDefault="00967DF2" w:rsidP="00967DF2">
      <w:pPr>
        <w:pStyle w:val="BodyText"/>
        <w:rPr>
          <w:color w:val="0070C0"/>
        </w:rPr>
      </w:pPr>
      <w:r w:rsidRPr="00967DF2">
        <w:rPr>
          <w:color w:val="0070C0"/>
        </w:rPr>
        <w:t> </w:t>
      </w:r>
    </w:p>
    <w:p w14:paraId="55DAD9D6" w14:textId="77777777" w:rsidR="00967DF2" w:rsidRPr="00967DF2" w:rsidRDefault="00967DF2" w:rsidP="00967DF2">
      <w:pPr>
        <w:pStyle w:val="BodyText"/>
        <w:rPr>
          <w:b/>
          <w:bCs/>
          <w:color w:val="0070C0"/>
        </w:rPr>
      </w:pPr>
    </w:p>
    <w:p w14:paraId="0B3CD052" w14:textId="77777777" w:rsidR="00967DF2" w:rsidRPr="00967DF2" w:rsidRDefault="00967DF2" w:rsidP="00967DF2">
      <w:pPr>
        <w:pStyle w:val="BodyText"/>
        <w:rPr>
          <w:b/>
          <w:bCs/>
          <w:color w:val="0070C0"/>
        </w:rPr>
      </w:pPr>
    </w:p>
    <w:p w14:paraId="0D602BD2" w14:textId="47E3DA5C" w:rsidR="00967DF2" w:rsidRPr="00967DF2" w:rsidRDefault="00967DF2" w:rsidP="00967DF2">
      <w:pPr>
        <w:pStyle w:val="BodyText"/>
        <w:rPr>
          <w:color w:val="0070C0"/>
        </w:rPr>
      </w:pPr>
      <w:r w:rsidRPr="00967DF2">
        <w:rPr>
          <w:b/>
          <w:bCs/>
          <w:color w:val="0070C0"/>
        </w:rPr>
        <w:lastRenderedPageBreak/>
        <w:t>Valid Justification for Missed Contact</w:t>
      </w:r>
    </w:p>
    <w:p w14:paraId="1FC13CE4" w14:textId="3710858C" w:rsidR="00967DF2" w:rsidRPr="00967DF2" w:rsidRDefault="00967DF2" w:rsidP="00967DF2">
      <w:pPr>
        <w:pStyle w:val="BodyText"/>
        <w:rPr>
          <w:color w:val="0070C0"/>
        </w:rPr>
      </w:pPr>
      <w:r w:rsidRPr="00967DF2">
        <w:rPr>
          <w:color w:val="0070C0"/>
        </w:rPr>
        <w:t xml:space="preserve">Valid </w:t>
      </w:r>
      <w:proofErr w:type="gramStart"/>
      <w:r w:rsidRPr="00967DF2">
        <w:rPr>
          <w:color w:val="0070C0"/>
        </w:rPr>
        <w:t>justifications</w:t>
      </w:r>
      <w:proofErr w:type="gramEnd"/>
      <w:r w:rsidRPr="00967DF2">
        <w:rPr>
          <w:color w:val="0070C0"/>
        </w:rPr>
        <w:t xml:space="preserve"> why a student may miss the weekly contact requirements of ALE for the purpose of truancy include those outlined in Excused absences WAC 392-401-020 and in policy 3122. </w:t>
      </w:r>
    </w:p>
    <w:p w14:paraId="504493E6" w14:textId="25861087" w:rsidR="00967DF2" w:rsidRPr="00967DF2" w:rsidRDefault="00967DF2" w:rsidP="00967DF2">
      <w:pPr>
        <w:pStyle w:val="BodyText"/>
        <w:rPr>
          <w:color w:val="0070C0"/>
        </w:rPr>
      </w:pPr>
      <w:r w:rsidRPr="00967DF2">
        <w:rPr>
          <w:color w:val="0070C0"/>
        </w:rPr>
        <w:t>If the district has additional locally determined valid justifications unique to the ALE setting, list here:</w:t>
      </w:r>
    </w:p>
    <w:p w14:paraId="54D90A8D" w14:textId="3D775835" w:rsidR="00967DF2" w:rsidRPr="00967DF2" w:rsidRDefault="00967DF2" w:rsidP="00967DF2">
      <w:pPr>
        <w:pStyle w:val="BodyText"/>
        <w:rPr>
          <w:color w:val="0070C0"/>
        </w:rPr>
      </w:pPr>
      <w:r w:rsidRPr="00967DF2">
        <w:rPr>
          <w:b/>
          <w:bCs/>
          <w:color w:val="0070C0"/>
        </w:rPr>
        <w:t>Students who drop out of ALE courses</w:t>
      </w:r>
      <w:r w:rsidRPr="00967DF2">
        <w:rPr>
          <w:color w:val="0070C0"/>
        </w:rPr>
        <w:br/>
        <w:t>A school district offering or contracting to offer an alternative learning experience course to a nonresident student must inform the resident school district if the student un-enrolls from the course or is otherwise no longer enrolled.</w:t>
      </w:r>
    </w:p>
    <w:p w14:paraId="2576AFA5" w14:textId="77777777" w:rsidR="00967DF2" w:rsidRPr="00967DF2" w:rsidRDefault="00967DF2" w:rsidP="00967DF2">
      <w:pPr>
        <w:pStyle w:val="BodyText"/>
        <w:rPr>
          <w:color w:val="0070C0"/>
        </w:rPr>
      </w:pPr>
      <w:r w:rsidRPr="00967DF2">
        <w:rPr>
          <w:b/>
          <w:bCs/>
          <w:color w:val="0070C0"/>
        </w:rPr>
        <w:t>Procedures</w:t>
      </w:r>
      <w:r w:rsidRPr="00967DF2">
        <w:rPr>
          <w:color w:val="0070C0"/>
        </w:rPr>
        <w:br/>
        <w:t>The superintendent is directed to develop procedures consistent with WAC chapter 392-550 to govern the administration of the district's ALE courses.</w:t>
      </w:r>
    </w:p>
    <w:p w14:paraId="553D2069" w14:textId="77777777" w:rsidR="00967DF2" w:rsidRPr="00967DF2" w:rsidRDefault="00967DF2" w:rsidP="00967DF2">
      <w:pPr>
        <w:pStyle w:val="BodyText"/>
        <w:rPr>
          <w:color w:val="0070C0"/>
        </w:rPr>
      </w:pPr>
      <w:r w:rsidRPr="00967DF2">
        <w:rPr>
          <w:color w:val="0070C0"/>
        </w:rPr>
        <w:t>Legal References</w:t>
      </w:r>
    </w:p>
    <w:p w14:paraId="25114353" w14:textId="77777777" w:rsidR="00967DF2" w:rsidRPr="00967DF2" w:rsidRDefault="00967DF2" w:rsidP="00967DF2">
      <w:pPr>
        <w:pStyle w:val="BodyText"/>
        <w:ind w:firstLine="720"/>
        <w:rPr>
          <w:color w:val="0070C0"/>
        </w:rPr>
      </w:pPr>
      <w:hyperlink r:id="rId11" w:tgtFrame="_blank" w:history="1">
        <w:r w:rsidRPr="00967DF2">
          <w:rPr>
            <w:rStyle w:val="Hyperlink"/>
            <w:color w:val="0070C0"/>
          </w:rPr>
          <w:t>RCW 28A.150.305 Alternative educational service providers  Student eligibility.</w:t>
        </w:r>
      </w:hyperlink>
    </w:p>
    <w:p w14:paraId="22507F33" w14:textId="77777777" w:rsidR="00967DF2" w:rsidRPr="00967DF2" w:rsidRDefault="00967DF2" w:rsidP="00967DF2">
      <w:pPr>
        <w:pStyle w:val="BodyText"/>
        <w:ind w:left="720"/>
        <w:rPr>
          <w:color w:val="0070C0"/>
        </w:rPr>
      </w:pPr>
      <w:hyperlink r:id="rId12" w:tgtFrame="_blank" w:history="1">
        <w:r w:rsidRPr="00967DF2">
          <w:rPr>
            <w:rStyle w:val="Hyperlink"/>
            <w:color w:val="0070C0"/>
          </w:rPr>
          <w:t>RCW 28A.232.010 Alternative learning experience courses  Generally  Rules  Reports.</w:t>
        </w:r>
      </w:hyperlink>
    </w:p>
    <w:p w14:paraId="052C9C46" w14:textId="77777777" w:rsidR="00967DF2" w:rsidRPr="00967DF2" w:rsidRDefault="00967DF2" w:rsidP="00967DF2">
      <w:pPr>
        <w:pStyle w:val="BodyText"/>
        <w:ind w:left="720"/>
        <w:rPr>
          <w:color w:val="0070C0"/>
        </w:rPr>
      </w:pPr>
      <w:hyperlink r:id="rId13" w:tgtFrame="_blank" w:history="1">
        <w:r w:rsidRPr="00967DF2">
          <w:rPr>
            <w:rStyle w:val="Hyperlink"/>
            <w:color w:val="0070C0"/>
          </w:rPr>
          <w:t>RCW 28A.250.050 Student access to online courses and online learning programs  Policies and procedures  Course credit  Dissemination of information  Development of local or regional online learning programs.</w:t>
        </w:r>
      </w:hyperlink>
    </w:p>
    <w:p w14:paraId="1B73ED9E" w14:textId="77777777" w:rsidR="00967DF2" w:rsidRPr="00967DF2" w:rsidRDefault="00967DF2" w:rsidP="00967DF2">
      <w:pPr>
        <w:pStyle w:val="BodyText"/>
        <w:ind w:firstLine="720"/>
        <w:rPr>
          <w:color w:val="0070C0"/>
        </w:rPr>
      </w:pPr>
      <w:hyperlink r:id="rId14" w:tgtFrame="_blank" w:history="1">
        <w:r w:rsidRPr="00967DF2">
          <w:rPr>
            <w:rStyle w:val="Hyperlink"/>
            <w:color w:val="0070C0"/>
          </w:rPr>
          <w:t>WAC 392-121-107 Definition-Course of study</w:t>
        </w:r>
      </w:hyperlink>
    </w:p>
    <w:p w14:paraId="496F851D" w14:textId="77777777" w:rsidR="00967DF2" w:rsidRPr="00967DF2" w:rsidRDefault="00967DF2" w:rsidP="00967DF2">
      <w:pPr>
        <w:pStyle w:val="BodyText"/>
        <w:ind w:firstLine="720"/>
        <w:rPr>
          <w:color w:val="0070C0"/>
        </w:rPr>
      </w:pPr>
      <w:hyperlink r:id="rId15" w:tgtFrame="_blank" w:history="1">
        <w:r w:rsidRPr="00967DF2">
          <w:rPr>
            <w:rStyle w:val="Hyperlink"/>
            <w:color w:val="0070C0"/>
          </w:rPr>
          <w:t>WAC 392-121-188 Instruction provided under contract</w:t>
        </w:r>
      </w:hyperlink>
    </w:p>
    <w:p w14:paraId="565284A6" w14:textId="77777777" w:rsidR="00967DF2" w:rsidRPr="00967DF2" w:rsidRDefault="00967DF2" w:rsidP="00967DF2">
      <w:pPr>
        <w:pStyle w:val="BodyText"/>
        <w:ind w:firstLine="720"/>
        <w:rPr>
          <w:color w:val="0070C0"/>
        </w:rPr>
      </w:pPr>
      <w:hyperlink r:id="rId16" w:tgtFrame="_blank" w:history="1">
        <w:r w:rsidRPr="00967DF2">
          <w:rPr>
            <w:rStyle w:val="Hyperlink"/>
            <w:color w:val="0070C0"/>
          </w:rPr>
          <w:t>WAC 392-137-230 Length of Acceptance</w:t>
        </w:r>
      </w:hyperlink>
    </w:p>
    <w:p w14:paraId="36B7A959" w14:textId="77777777" w:rsidR="00967DF2" w:rsidRPr="00967DF2" w:rsidRDefault="00967DF2" w:rsidP="00967DF2">
      <w:pPr>
        <w:pStyle w:val="BodyText"/>
        <w:ind w:firstLine="720"/>
        <w:rPr>
          <w:color w:val="0070C0"/>
        </w:rPr>
      </w:pPr>
      <w:hyperlink r:id="rId17" w:tgtFrame="_blank" w:history="1">
        <w:r w:rsidRPr="00967DF2">
          <w:rPr>
            <w:rStyle w:val="Hyperlink"/>
            <w:color w:val="0070C0"/>
          </w:rPr>
          <w:t>Chapter 28A.225 RCW Compulsory school attendance and admission</w:t>
        </w:r>
      </w:hyperlink>
    </w:p>
    <w:p w14:paraId="3EE89B64" w14:textId="77777777" w:rsidR="00967DF2" w:rsidRPr="00967DF2" w:rsidRDefault="00967DF2" w:rsidP="00967DF2">
      <w:pPr>
        <w:pStyle w:val="BodyText"/>
        <w:rPr>
          <w:color w:val="0070C0"/>
        </w:rPr>
      </w:pPr>
      <w:r w:rsidRPr="00967DF2">
        <w:rPr>
          <w:color w:val="0070C0"/>
        </w:rPr>
        <w:t>Cross References</w:t>
      </w:r>
    </w:p>
    <w:p w14:paraId="7C9E1FEB" w14:textId="77777777" w:rsidR="00967DF2" w:rsidRPr="00967DF2" w:rsidRDefault="00967DF2" w:rsidP="00967DF2">
      <w:pPr>
        <w:pStyle w:val="BodyText"/>
        <w:ind w:firstLine="720"/>
        <w:rPr>
          <w:color w:val="0070C0"/>
        </w:rPr>
      </w:pPr>
      <w:hyperlink r:id="rId18" w:history="1">
        <w:r w:rsidRPr="00967DF2">
          <w:rPr>
            <w:rStyle w:val="Hyperlink"/>
            <w:color w:val="0070C0"/>
          </w:rPr>
          <w:t>2020 - Course Design, Selection, and Adoption of Instructional Materials</w:t>
        </w:r>
      </w:hyperlink>
    </w:p>
    <w:p w14:paraId="593B7D58" w14:textId="77777777" w:rsidR="00967DF2" w:rsidRPr="00967DF2" w:rsidRDefault="00967DF2" w:rsidP="00967DF2">
      <w:pPr>
        <w:pStyle w:val="BodyText"/>
        <w:ind w:firstLine="720"/>
        <w:rPr>
          <w:color w:val="0070C0"/>
        </w:rPr>
      </w:pPr>
      <w:hyperlink r:id="rId19" w:history="1">
        <w:r w:rsidRPr="00967DF2">
          <w:rPr>
            <w:rStyle w:val="Hyperlink"/>
            <w:color w:val="0070C0"/>
          </w:rPr>
          <w:t>2024 - Online Learning</w:t>
        </w:r>
      </w:hyperlink>
    </w:p>
    <w:p w14:paraId="5A44864A" w14:textId="77777777" w:rsidR="00967DF2" w:rsidRPr="00967DF2" w:rsidRDefault="00967DF2" w:rsidP="00967DF2">
      <w:pPr>
        <w:pStyle w:val="BodyText"/>
        <w:ind w:firstLine="720"/>
        <w:rPr>
          <w:color w:val="0070C0"/>
        </w:rPr>
      </w:pPr>
      <w:hyperlink r:id="rId20" w:tgtFrame="_blank" w:history="1">
        <w:r w:rsidRPr="00967DF2">
          <w:rPr>
            <w:rStyle w:val="Hyperlink"/>
            <w:color w:val="0070C0"/>
          </w:rPr>
          <w:t>3122 - Excused and Unexcused Absences</w:t>
        </w:r>
      </w:hyperlink>
    </w:p>
    <w:p w14:paraId="11E09F40" w14:textId="77777777" w:rsidR="00967DF2" w:rsidRPr="00967DF2" w:rsidRDefault="00967DF2" w:rsidP="00967DF2">
      <w:pPr>
        <w:pStyle w:val="BodyText"/>
        <w:ind w:firstLine="720"/>
        <w:rPr>
          <w:color w:val="0070C0"/>
        </w:rPr>
      </w:pPr>
      <w:hyperlink r:id="rId21" w:tgtFrame="_blank" w:history="1">
        <w:r w:rsidRPr="00967DF2">
          <w:rPr>
            <w:rStyle w:val="Hyperlink"/>
            <w:color w:val="0070C0"/>
          </w:rPr>
          <w:t>3141 - Nonresident Students</w:t>
        </w:r>
      </w:hyperlink>
    </w:p>
    <w:p w14:paraId="714A0FF9" w14:textId="77777777" w:rsidR="00967DF2" w:rsidRPr="00967DF2" w:rsidRDefault="00967DF2" w:rsidP="00967DF2">
      <w:pPr>
        <w:pStyle w:val="BodyText"/>
        <w:rPr>
          <w:color w:val="0070C0"/>
        </w:rPr>
      </w:pPr>
      <w:r w:rsidRPr="00967DF2">
        <w:rPr>
          <w:color w:val="0070C0"/>
        </w:rPr>
        <w:t>Management Resources</w:t>
      </w:r>
    </w:p>
    <w:p w14:paraId="4153A65D" w14:textId="77777777" w:rsidR="00967DF2" w:rsidRPr="00967DF2" w:rsidRDefault="00967DF2" w:rsidP="00967DF2">
      <w:pPr>
        <w:pStyle w:val="BodyText"/>
        <w:ind w:firstLine="720"/>
        <w:rPr>
          <w:color w:val="0070C0"/>
        </w:rPr>
      </w:pPr>
      <w:hyperlink r:id="rId22" w:history="1">
        <w:r w:rsidRPr="00967DF2">
          <w:rPr>
            <w:rStyle w:val="Hyperlink"/>
            <w:color w:val="0070C0"/>
          </w:rPr>
          <w:t>2018 - May Policy Issue</w:t>
        </w:r>
      </w:hyperlink>
    </w:p>
    <w:p w14:paraId="41220EA2" w14:textId="77777777" w:rsidR="00967DF2" w:rsidRPr="00967DF2" w:rsidRDefault="00967DF2" w:rsidP="00967DF2">
      <w:pPr>
        <w:pStyle w:val="BodyText"/>
        <w:ind w:firstLine="720"/>
        <w:rPr>
          <w:color w:val="0070C0"/>
        </w:rPr>
      </w:pPr>
      <w:hyperlink r:id="rId23" w:history="1">
        <w:r w:rsidRPr="00967DF2">
          <w:rPr>
            <w:rStyle w:val="Hyperlink"/>
            <w:color w:val="0070C0"/>
          </w:rPr>
          <w:t>2017 - April Issue</w:t>
        </w:r>
      </w:hyperlink>
    </w:p>
    <w:p w14:paraId="52983651" w14:textId="77777777" w:rsidR="00967DF2" w:rsidRPr="00967DF2" w:rsidRDefault="00967DF2" w:rsidP="00967DF2">
      <w:pPr>
        <w:pStyle w:val="BodyText"/>
        <w:ind w:firstLine="720"/>
        <w:rPr>
          <w:color w:val="0070C0"/>
        </w:rPr>
      </w:pPr>
      <w:hyperlink r:id="rId24" w:history="1">
        <w:r w:rsidRPr="00967DF2">
          <w:rPr>
            <w:rStyle w:val="Hyperlink"/>
            <w:color w:val="0070C0"/>
          </w:rPr>
          <w:t>2014 - February Issue</w:t>
        </w:r>
      </w:hyperlink>
    </w:p>
    <w:p w14:paraId="3468969F" w14:textId="77777777" w:rsidR="00967DF2" w:rsidRPr="00967DF2" w:rsidRDefault="00967DF2" w:rsidP="00967DF2">
      <w:pPr>
        <w:pStyle w:val="BodyText"/>
        <w:ind w:firstLine="720"/>
        <w:rPr>
          <w:color w:val="0070C0"/>
        </w:rPr>
      </w:pPr>
      <w:hyperlink r:id="rId25" w:history="1">
        <w:r w:rsidRPr="00967DF2">
          <w:rPr>
            <w:rStyle w:val="Hyperlink"/>
            <w:color w:val="0070C0"/>
          </w:rPr>
          <w:t>2012 - October Issue</w:t>
        </w:r>
      </w:hyperlink>
    </w:p>
    <w:p w14:paraId="2B671965" w14:textId="77777777" w:rsidR="00967DF2" w:rsidRPr="00967DF2" w:rsidRDefault="00967DF2" w:rsidP="00967DF2">
      <w:pPr>
        <w:pStyle w:val="BodyText"/>
        <w:ind w:firstLine="720"/>
        <w:rPr>
          <w:color w:val="0070C0"/>
        </w:rPr>
      </w:pPr>
      <w:hyperlink r:id="rId26" w:history="1">
        <w:r w:rsidRPr="00967DF2">
          <w:rPr>
            <w:rStyle w:val="Hyperlink"/>
            <w:color w:val="0070C0"/>
          </w:rPr>
          <w:t>2011 - October Issue</w:t>
        </w:r>
      </w:hyperlink>
    </w:p>
    <w:p w14:paraId="2D46040B" w14:textId="77777777" w:rsidR="00967DF2" w:rsidRPr="00967DF2" w:rsidRDefault="00967DF2" w:rsidP="00967DF2">
      <w:pPr>
        <w:pStyle w:val="BodyText"/>
        <w:ind w:firstLine="720"/>
        <w:rPr>
          <w:color w:val="0070C0"/>
        </w:rPr>
      </w:pPr>
      <w:hyperlink r:id="rId27" w:tgtFrame="_blank" w:history="1">
        <w:r w:rsidRPr="00967DF2">
          <w:rPr>
            <w:rStyle w:val="Hyperlink"/>
            <w:color w:val="0070C0"/>
          </w:rPr>
          <w:t>2020 - August Issue</w:t>
        </w:r>
      </w:hyperlink>
    </w:p>
    <w:p w14:paraId="2F2ECEDA" w14:textId="77777777" w:rsidR="00967DF2" w:rsidRPr="00967DF2" w:rsidRDefault="00967DF2" w:rsidP="00967DF2">
      <w:pPr>
        <w:pStyle w:val="BodyText"/>
        <w:rPr>
          <w:color w:val="0070C0"/>
        </w:rPr>
      </w:pPr>
    </w:p>
    <w:p w14:paraId="3EB40B5A" w14:textId="1532DDF7" w:rsidR="00967DF2" w:rsidRPr="00967DF2" w:rsidRDefault="00967DF2" w:rsidP="00967DF2">
      <w:pPr>
        <w:pStyle w:val="BodyText"/>
        <w:rPr>
          <w:color w:val="0070C0"/>
        </w:rPr>
      </w:pPr>
    </w:p>
    <w:p w14:paraId="1C243F95" w14:textId="77777777" w:rsidR="00967DF2" w:rsidRPr="00967DF2" w:rsidRDefault="00967DF2" w:rsidP="00967DF2">
      <w:pPr>
        <w:pStyle w:val="AdoptionDate"/>
        <w:rPr>
          <w:color w:val="0070C0"/>
        </w:rPr>
      </w:pPr>
    </w:p>
    <w:p w14:paraId="35A80056" w14:textId="633DCE93" w:rsidR="00967DF2" w:rsidRDefault="00967DF2" w:rsidP="00967DF2">
      <w:pPr>
        <w:pStyle w:val="AdoptionDate"/>
      </w:pPr>
      <w:r>
        <w:t>Adoption Date:</w:t>
      </w:r>
      <w:r>
        <w:t xml:space="preserve"> November ??</w:t>
      </w:r>
    </w:p>
    <w:p w14:paraId="0921A87B" w14:textId="77777777" w:rsidR="00967DF2" w:rsidRDefault="00967DF2" w:rsidP="00967DF2">
      <w:pPr>
        <w:pStyle w:val="AdoptionDate"/>
      </w:pPr>
      <w:smartTag w:uri="urn:schemas-microsoft-com:office:smarttags" w:element="place">
        <w:smartTag w:uri="urn:schemas-microsoft-com:office:smarttags" w:element="PlaceName">
          <w:r>
            <w:t>Klickitat</w:t>
          </w:r>
        </w:smartTag>
        <w:r>
          <w:t xml:space="preserve"> </w:t>
        </w:r>
        <w:smartTag w:uri="urn:schemas-microsoft-com:office:smarttags" w:element="PlaceType">
          <w:r>
            <w:t>School District</w:t>
          </w:r>
        </w:smartTag>
      </w:smartTag>
    </w:p>
    <w:p w14:paraId="6B4923DD" w14:textId="07663C1B" w:rsidR="00967DF2" w:rsidRDefault="00967DF2" w:rsidP="00967DF2">
      <w:pPr>
        <w:pStyle w:val="AdoptionDate"/>
      </w:pPr>
      <w:r>
        <w:t>Revised: 10.</w:t>
      </w:r>
      <w:r>
        <w:t>25</w:t>
      </w:r>
    </w:p>
    <w:p w14:paraId="6FF1C36D" w14:textId="2B601082" w:rsidR="00967DF2" w:rsidRDefault="00967DF2" w:rsidP="00967DF2">
      <w:pPr>
        <w:pStyle w:val="AdoptionDate"/>
      </w:pPr>
      <w:r>
        <w:t xml:space="preserve">Classification: </w:t>
      </w:r>
      <w:r>
        <w:t>Critical</w:t>
      </w:r>
    </w:p>
    <w:p w14:paraId="306EBF9A" w14:textId="77777777" w:rsidR="00967DF2" w:rsidRDefault="00967DF2"/>
    <w:p w14:paraId="1385ECED" w14:textId="77777777" w:rsidR="00967DF2" w:rsidRDefault="00967DF2"/>
    <w:p w14:paraId="69A0B22D" w14:textId="77777777" w:rsidR="00967DF2" w:rsidRDefault="00967DF2"/>
    <w:p w14:paraId="403FF916" w14:textId="77777777" w:rsidR="00967DF2" w:rsidRDefault="00967DF2"/>
    <w:p w14:paraId="22862C21" w14:textId="77777777" w:rsidR="00967DF2" w:rsidRPr="00967DF2" w:rsidRDefault="00967DF2" w:rsidP="00967DF2">
      <w:pPr>
        <w:pStyle w:val="BodyText"/>
      </w:pPr>
      <w:r w:rsidRPr="00967DF2">
        <w:t>© 2020-2025 Washington State School Directors' Association. All rights reserved.</w:t>
      </w:r>
    </w:p>
    <w:p w14:paraId="46A0D131" w14:textId="77777777" w:rsidR="00967DF2" w:rsidRDefault="00967DF2"/>
    <w:sectPr w:rsidR="00967DF2" w:rsidSect="00967DF2">
      <w:headerReference w:type="default" r:id="rId28"/>
      <w:pgSz w:w="12240" w:h="15840"/>
      <w:pgMar w:top="720" w:right="1440" w:bottom="360" w:left="144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E5399" w14:textId="77777777" w:rsidR="00967DF2" w:rsidRDefault="00967DF2" w:rsidP="00967DF2">
      <w:r>
        <w:separator/>
      </w:r>
    </w:p>
  </w:endnote>
  <w:endnote w:type="continuationSeparator" w:id="0">
    <w:p w14:paraId="6CB38146" w14:textId="77777777" w:rsidR="00967DF2" w:rsidRDefault="00967DF2" w:rsidP="0096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84EBD" w14:textId="77777777" w:rsidR="00967DF2" w:rsidRDefault="00967DF2" w:rsidP="00967DF2">
      <w:r>
        <w:separator/>
      </w:r>
    </w:p>
  </w:footnote>
  <w:footnote w:type="continuationSeparator" w:id="0">
    <w:p w14:paraId="12CDC77F" w14:textId="77777777" w:rsidR="00967DF2" w:rsidRDefault="00967DF2" w:rsidP="00967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32D67" w14:textId="290912C4" w:rsidR="00967DF2" w:rsidRDefault="00967DF2">
    <w:pPr>
      <w:pStyle w:val="Header"/>
      <w:framePr w:w="9360" w:wrap="around" w:hAnchor="margin" w:xAlign="right"/>
      <w:rPr>
        <w:noProof w:val="0"/>
      </w:rPr>
    </w:pPr>
    <w:r>
      <w:rPr>
        <w:noProof w:val="0"/>
      </w:rPr>
      <w:t>Policy No. 2</w:t>
    </w:r>
    <w:r>
      <w:rPr>
        <w:noProof w:val="0"/>
      </w:rPr>
      <w:t>255</w:t>
    </w:r>
  </w:p>
  <w:p w14:paraId="2E518530" w14:textId="77777777" w:rsidR="00967DF2" w:rsidRDefault="00967DF2">
    <w:pPr>
      <w:pStyle w:val="Header"/>
      <w:framePr w:w="9360" w:wrap="around" w:hAnchor="margin" w:xAlign="right"/>
      <w:rPr>
        <w:noProof w:val="0"/>
      </w:rPr>
    </w:pPr>
    <w:r>
      <w:rPr>
        <w:noProof w:val="0"/>
      </w:rPr>
      <w:t>Instruction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D1D43"/>
    <w:multiLevelType w:val="multilevel"/>
    <w:tmpl w:val="A6EAE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5A2171"/>
    <w:multiLevelType w:val="multilevel"/>
    <w:tmpl w:val="6DC8F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BA1743"/>
    <w:multiLevelType w:val="multilevel"/>
    <w:tmpl w:val="19C86B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1A3107"/>
    <w:multiLevelType w:val="multilevel"/>
    <w:tmpl w:val="53204A7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0D6BDC"/>
    <w:multiLevelType w:val="multilevel"/>
    <w:tmpl w:val="48DCA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C6300B"/>
    <w:multiLevelType w:val="multilevel"/>
    <w:tmpl w:val="8110D29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5944B1"/>
    <w:multiLevelType w:val="multilevel"/>
    <w:tmpl w:val="18A23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7E59D6"/>
    <w:multiLevelType w:val="multilevel"/>
    <w:tmpl w:val="54DA8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8137638">
    <w:abstractNumId w:val="0"/>
  </w:num>
  <w:num w:numId="2" w16cid:durableId="1090004995">
    <w:abstractNumId w:val="4"/>
  </w:num>
  <w:num w:numId="3" w16cid:durableId="958221206">
    <w:abstractNumId w:val="3"/>
  </w:num>
  <w:num w:numId="4" w16cid:durableId="154496760">
    <w:abstractNumId w:val="7"/>
  </w:num>
  <w:num w:numId="5" w16cid:durableId="1976251189">
    <w:abstractNumId w:val="6"/>
  </w:num>
  <w:num w:numId="6" w16cid:durableId="2051298384">
    <w:abstractNumId w:val="2"/>
  </w:num>
  <w:num w:numId="7" w16cid:durableId="1780484680">
    <w:abstractNumId w:val="5"/>
  </w:num>
  <w:num w:numId="8" w16cid:durableId="1990286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DF2"/>
    <w:rsid w:val="000B30DA"/>
    <w:rsid w:val="005E471F"/>
    <w:rsid w:val="00855DED"/>
    <w:rsid w:val="00967DF2"/>
    <w:rsid w:val="00D25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6C40A861"/>
  <w15:chartTrackingRefBased/>
  <w15:docId w15:val="{1BF79A68-0C55-463D-9EAC-6962871C2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DF2"/>
    <w:pPr>
      <w:spacing w:after="0" w:line="240" w:lineRule="auto"/>
    </w:pPr>
    <w:rPr>
      <w:rFonts w:ascii="Times" w:eastAsia="Times" w:hAnsi="Times" w:cs="Times New Roman"/>
      <w:color w:val="0000FF"/>
      <w:kern w:val="0"/>
      <w:szCs w:val="20"/>
      <w14:ligatures w14:val="none"/>
    </w:rPr>
  </w:style>
  <w:style w:type="paragraph" w:styleId="Heading1">
    <w:name w:val="heading 1"/>
    <w:basedOn w:val="Normal"/>
    <w:next w:val="Normal"/>
    <w:link w:val="Heading1Char"/>
    <w:qFormat/>
    <w:rsid w:val="00967D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D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D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D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D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D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D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D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D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7D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D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D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D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D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D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D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D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DF2"/>
    <w:rPr>
      <w:rFonts w:eastAsiaTheme="majorEastAsia" w:cstheme="majorBidi"/>
      <w:color w:val="272727" w:themeColor="text1" w:themeTint="D8"/>
    </w:rPr>
  </w:style>
  <w:style w:type="paragraph" w:styleId="Title">
    <w:name w:val="Title"/>
    <w:basedOn w:val="Normal"/>
    <w:next w:val="Normal"/>
    <w:link w:val="TitleChar"/>
    <w:uiPriority w:val="10"/>
    <w:qFormat/>
    <w:rsid w:val="00967D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D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D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D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DF2"/>
    <w:pPr>
      <w:spacing w:before="160"/>
      <w:jc w:val="center"/>
    </w:pPr>
    <w:rPr>
      <w:i/>
      <w:iCs/>
      <w:color w:val="404040" w:themeColor="text1" w:themeTint="BF"/>
    </w:rPr>
  </w:style>
  <w:style w:type="character" w:customStyle="1" w:styleId="QuoteChar">
    <w:name w:val="Quote Char"/>
    <w:basedOn w:val="DefaultParagraphFont"/>
    <w:link w:val="Quote"/>
    <w:uiPriority w:val="29"/>
    <w:rsid w:val="00967DF2"/>
    <w:rPr>
      <w:i/>
      <w:iCs/>
      <w:color w:val="404040" w:themeColor="text1" w:themeTint="BF"/>
    </w:rPr>
  </w:style>
  <w:style w:type="paragraph" w:styleId="ListParagraph">
    <w:name w:val="List Paragraph"/>
    <w:basedOn w:val="Normal"/>
    <w:uiPriority w:val="34"/>
    <w:qFormat/>
    <w:rsid w:val="00967DF2"/>
    <w:pPr>
      <w:ind w:left="720"/>
      <w:contextualSpacing/>
    </w:pPr>
  </w:style>
  <w:style w:type="character" w:styleId="IntenseEmphasis">
    <w:name w:val="Intense Emphasis"/>
    <w:basedOn w:val="DefaultParagraphFont"/>
    <w:uiPriority w:val="21"/>
    <w:qFormat/>
    <w:rsid w:val="00967DF2"/>
    <w:rPr>
      <w:i/>
      <w:iCs/>
      <w:color w:val="0F4761" w:themeColor="accent1" w:themeShade="BF"/>
    </w:rPr>
  </w:style>
  <w:style w:type="paragraph" w:styleId="IntenseQuote">
    <w:name w:val="Intense Quote"/>
    <w:basedOn w:val="Normal"/>
    <w:next w:val="Normal"/>
    <w:link w:val="IntenseQuoteChar"/>
    <w:uiPriority w:val="30"/>
    <w:qFormat/>
    <w:rsid w:val="00967D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DF2"/>
    <w:rPr>
      <w:i/>
      <w:iCs/>
      <w:color w:val="0F4761" w:themeColor="accent1" w:themeShade="BF"/>
    </w:rPr>
  </w:style>
  <w:style w:type="character" w:styleId="IntenseReference">
    <w:name w:val="Intense Reference"/>
    <w:basedOn w:val="DefaultParagraphFont"/>
    <w:uiPriority w:val="32"/>
    <w:qFormat/>
    <w:rsid w:val="00967DF2"/>
    <w:rPr>
      <w:b/>
      <w:bCs/>
      <w:smallCaps/>
      <w:color w:val="0F4761" w:themeColor="accent1" w:themeShade="BF"/>
      <w:spacing w:val="5"/>
    </w:rPr>
  </w:style>
  <w:style w:type="paragraph" w:styleId="BodyText">
    <w:name w:val="Body Text"/>
    <w:basedOn w:val="Normal"/>
    <w:link w:val="BodyTextChar"/>
    <w:rsid w:val="00967DF2"/>
    <w:pPr>
      <w:spacing w:after="120"/>
    </w:pPr>
    <w:rPr>
      <w:rFonts w:ascii="Times New Roman" w:hAnsi="Times New Roman"/>
      <w:color w:val="auto"/>
    </w:rPr>
  </w:style>
  <w:style w:type="character" w:customStyle="1" w:styleId="BodyTextChar">
    <w:name w:val="Body Text Char"/>
    <w:basedOn w:val="DefaultParagraphFont"/>
    <w:link w:val="BodyText"/>
    <w:rsid w:val="00967DF2"/>
    <w:rPr>
      <w:rFonts w:ascii="Times New Roman" w:eastAsia="Times" w:hAnsi="Times New Roman" w:cs="Times New Roman"/>
      <w:kern w:val="0"/>
      <w:szCs w:val="20"/>
      <w14:ligatures w14:val="none"/>
    </w:rPr>
  </w:style>
  <w:style w:type="paragraph" w:customStyle="1" w:styleId="AdoptionDate">
    <w:name w:val="Adoption Date"/>
    <w:rsid w:val="00967DF2"/>
    <w:pPr>
      <w:spacing w:after="0" w:line="240" w:lineRule="auto"/>
    </w:pPr>
    <w:rPr>
      <w:rFonts w:ascii="Times New Roman" w:eastAsia="Times" w:hAnsi="Times New Roman" w:cs="Times New Roman"/>
      <w:b/>
      <w:noProof/>
      <w:kern w:val="0"/>
      <w:szCs w:val="20"/>
      <w14:ligatures w14:val="none"/>
    </w:rPr>
  </w:style>
  <w:style w:type="paragraph" w:customStyle="1" w:styleId="References">
    <w:name w:val="References"/>
    <w:basedOn w:val="Normal"/>
    <w:rsid w:val="00967DF2"/>
    <w:pPr>
      <w:tabs>
        <w:tab w:val="left" w:pos="-5040"/>
        <w:tab w:val="left" w:pos="2160"/>
        <w:tab w:val="left" w:pos="2790"/>
        <w:tab w:val="left" w:pos="5400"/>
        <w:tab w:val="left" w:pos="5760"/>
      </w:tabs>
      <w:suppressAutoHyphens/>
      <w:ind w:left="5760" w:hanging="5760"/>
    </w:pPr>
    <w:rPr>
      <w:rFonts w:ascii="Times New Roman" w:hAnsi="Times New Roman"/>
      <w:color w:val="auto"/>
    </w:rPr>
  </w:style>
  <w:style w:type="paragraph" w:styleId="Header">
    <w:name w:val="header"/>
    <w:link w:val="HeaderChar"/>
    <w:rsid w:val="00967DF2"/>
    <w:pPr>
      <w:framePr w:hSpace="187" w:vSpace="360" w:wrap="around" w:vAnchor="text" w:hAnchor="text" w:y="1"/>
      <w:tabs>
        <w:tab w:val="center" w:pos="4320"/>
        <w:tab w:val="right" w:pos="8640"/>
      </w:tabs>
      <w:spacing w:after="0" w:line="240" w:lineRule="auto"/>
      <w:jc w:val="right"/>
    </w:pPr>
    <w:rPr>
      <w:rFonts w:ascii="Times New Roman" w:eastAsia="Times" w:hAnsi="Times New Roman" w:cs="Times New Roman"/>
      <w:noProof/>
      <w:kern w:val="0"/>
      <w:szCs w:val="20"/>
      <w14:ligatures w14:val="none"/>
    </w:rPr>
  </w:style>
  <w:style w:type="character" w:customStyle="1" w:styleId="HeaderChar">
    <w:name w:val="Header Char"/>
    <w:basedOn w:val="DefaultParagraphFont"/>
    <w:link w:val="Header"/>
    <w:rsid w:val="00967DF2"/>
    <w:rPr>
      <w:rFonts w:ascii="Times New Roman" w:eastAsia="Times" w:hAnsi="Times New Roman" w:cs="Times New Roman"/>
      <w:noProof/>
      <w:kern w:val="0"/>
      <w:szCs w:val="20"/>
      <w14:ligatures w14:val="none"/>
    </w:rPr>
  </w:style>
  <w:style w:type="paragraph" w:styleId="Footer">
    <w:name w:val="footer"/>
    <w:basedOn w:val="Normal"/>
    <w:link w:val="FooterChar"/>
    <w:uiPriority w:val="99"/>
    <w:unhideWhenUsed/>
    <w:rsid w:val="00967DF2"/>
    <w:pPr>
      <w:tabs>
        <w:tab w:val="center" w:pos="4680"/>
        <w:tab w:val="right" w:pos="9360"/>
      </w:tabs>
    </w:pPr>
  </w:style>
  <w:style w:type="character" w:customStyle="1" w:styleId="FooterChar">
    <w:name w:val="Footer Char"/>
    <w:basedOn w:val="DefaultParagraphFont"/>
    <w:link w:val="Footer"/>
    <w:uiPriority w:val="99"/>
    <w:rsid w:val="00967DF2"/>
    <w:rPr>
      <w:rFonts w:ascii="Times" w:eastAsia="Times" w:hAnsi="Times" w:cs="Times New Roman"/>
      <w:color w:val="0000FF"/>
      <w:kern w:val="0"/>
      <w:szCs w:val="20"/>
      <w14:ligatures w14:val="none"/>
    </w:rPr>
  </w:style>
  <w:style w:type="character" w:styleId="Hyperlink">
    <w:name w:val="Hyperlink"/>
    <w:basedOn w:val="DefaultParagraphFont"/>
    <w:uiPriority w:val="99"/>
    <w:unhideWhenUsed/>
    <w:rsid w:val="00967DF2"/>
    <w:rPr>
      <w:color w:val="467886" w:themeColor="hyperlink"/>
      <w:u w:val="single"/>
    </w:rPr>
  </w:style>
  <w:style w:type="character" w:styleId="UnresolvedMention">
    <w:name w:val="Unresolved Mention"/>
    <w:basedOn w:val="DefaultParagraphFont"/>
    <w:uiPriority w:val="99"/>
    <w:semiHidden/>
    <w:unhideWhenUsed/>
    <w:rsid w:val="00967D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leg.wa.gov/RCW/default.aspx?cite=28A.200" TargetMode="External"/><Relationship Id="rId13" Type="http://schemas.openxmlformats.org/officeDocument/2006/relationships/hyperlink" Target="http://apps.leg.wa.gov/RCW/default.aspx?cite=28A.250.050" TargetMode="External"/><Relationship Id="rId18" Type="http://schemas.openxmlformats.org/officeDocument/2006/relationships/hyperlink" Target="http://boarddocs.com/wa/wssda/MC.nsf/Index?Open&amp;policyid=8U6NLQ60565A" TargetMode="External"/><Relationship Id="rId26" Type="http://schemas.openxmlformats.org/officeDocument/2006/relationships/hyperlink" Target="http://boarddocs.com/wa/wssda/MC.nsf/Index?Open&amp;newsid=9BVNQC5985D7" TargetMode="External"/><Relationship Id="rId3" Type="http://schemas.openxmlformats.org/officeDocument/2006/relationships/settings" Target="settings.xml"/><Relationship Id="rId21" Type="http://schemas.openxmlformats.org/officeDocument/2006/relationships/hyperlink" Target="https://go.boarddocs.com/wa/wssda/MC.nsf/Index?open&amp;policyid=8U6UDR7B9230" TargetMode="External"/><Relationship Id="rId7" Type="http://schemas.openxmlformats.org/officeDocument/2006/relationships/hyperlink" Target="http://apps.leg.wa.gov/wac/default.aspx?cite=392-121-182" TargetMode="External"/><Relationship Id="rId12" Type="http://schemas.openxmlformats.org/officeDocument/2006/relationships/hyperlink" Target="http://apps.leg.wa.gov/rcw/default.aspx?cite=28A.232.010" TargetMode="External"/><Relationship Id="rId17" Type="http://schemas.openxmlformats.org/officeDocument/2006/relationships/hyperlink" Target="https://app.leg.wa.gov/rcw/default.aspx?cite=28a.225" TargetMode="External"/><Relationship Id="rId25" Type="http://schemas.openxmlformats.org/officeDocument/2006/relationships/hyperlink" Target="http://boarddocs.com/wa/wssda/MC.nsf/Index?Open&amp;newsid=9BVN7B586C2E" TargetMode="External"/><Relationship Id="rId2" Type="http://schemas.openxmlformats.org/officeDocument/2006/relationships/styles" Target="styles.xml"/><Relationship Id="rId16" Type="http://schemas.openxmlformats.org/officeDocument/2006/relationships/hyperlink" Target="https://apps.leg.wa.gov/wac/default.aspx?cite=392-137-230" TargetMode="External"/><Relationship Id="rId20" Type="http://schemas.openxmlformats.org/officeDocument/2006/relationships/hyperlink" Target="https://go.boarddocs.com/wa/wssda/MC.nsf/Index?open&amp;policyid=APP4UZ7D3B1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pps.leg.wa.gov/rcw/default.aspx?cite=28A.150.305" TargetMode="External"/><Relationship Id="rId24" Type="http://schemas.openxmlformats.org/officeDocument/2006/relationships/hyperlink" Target="http://boarddocs.com/wa/wssda/MC.nsf/Index?Open&amp;newsid=9GVQQ86005E7" TargetMode="External"/><Relationship Id="rId5" Type="http://schemas.openxmlformats.org/officeDocument/2006/relationships/footnotes" Target="footnotes.xml"/><Relationship Id="rId15" Type="http://schemas.openxmlformats.org/officeDocument/2006/relationships/hyperlink" Target="http://apps.leg.wa.gov/WAC/default.aspx?cite=392-121-188" TargetMode="External"/><Relationship Id="rId23" Type="http://schemas.openxmlformats.org/officeDocument/2006/relationships/hyperlink" Target="http://www.boarddocs.com/wa/wssda/MC.nsf/Index?Open&amp;newsid=ALUNWY618B68" TargetMode="External"/><Relationship Id="rId28" Type="http://schemas.openxmlformats.org/officeDocument/2006/relationships/header" Target="header1.xml"/><Relationship Id="rId10" Type="http://schemas.openxmlformats.org/officeDocument/2006/relationships/hyperlink" Target="http://app.leg.wa.gov/RCW/default.aspx?cite=28A.655" TargetMode="External"/><Relationship Id="rId19" Type="http://schemas.openxmlformats.org/officeDocument/2006/relationships/hyperlink" Target="https://go.boarddocs.com/wa/wssda/MC.nsf/Index?open&amp;policyid=ALU8EN1DF9A7" TargetMode="External"/><Relationship Id="rId4" Type="http://schemas.openxmlformats.org/officeDocument/2006/relationships/webSettings" Target="webSettings.xml"/><Relationship Id="rId9" Type="http://schemas.openxmlformats.org/officeDocument/2006/relationships/hyperlink" Target="http://app.leg.wa.gov/RCW/default.aspx?cite=28A.195" TargetMode="External"/><Relationship Id="rId14" Type="http://schemas.openxmlformats.org/officeDocument/2006/relationships/hyperlink" Target="http://apps.leg.wa.gov/WAC/default.aspx?cite=392-121-107" TargetMode="External"/><Relationship Id="rId22" Type="http://schemas.openxmlformats.org/officeDocument/2006/relationships/hyperlink" Target="https://go.boarddocs.comhttps/go.boarddocs.com/wa/wssda/MC.nsf/Index?Open&amp;newsid=AZ4357768E0E" TargetMode="External"/><Relationship Id="rId27" Type="http://schemas.openxmlformats.org/officeDocument/2006/relationships/hyperlink" Target="https://go.boarddocs.com/wa/wssda/MC.nsf/?open&amp;newsid=BSNQHA67C0F3"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1397</Words>
  <Characters>7969</Characters>
  <Application>Microsoft Office Word</Application>
  <DocSecurity>0</DocSecurity>
  <Lines>66</Lines>
  <Paragraphs>18</Paragraphs>
  <ScaleCrop>false</ScaleCrop>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Dillon</dc:creator>
  <cp:keywords/>
  <dc:description/>
  <cp:lastModifiedBy>Jeff Dillon</cp:lastModifiedBy>
  <cp:revision>1</cp:revision>
  <dcterms:created xsi:type="dcterms:W3CDTF">2025-10-20T22:12:00Z</dcterms:created>
  <dcterms:modified xsi:type="dcterms:W3CDTF">2025-10-20T22:22:00Z</dcterms:modified>
</cp:coreProperties>
</file>