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41" w:rsidRPr="00B64030" w:rsidRDefault="00F13D41" w:rsidP="00F13D41">
      <w:pPr>
        <w:pStyle w:val="Heading1"/>
      </w:pPr>
      <w:r w:rsidRPr="00B64030">
        <w:t>Key Functions of the Board</w:t>
      </w:r>
    </w:p>
    <w:p w:rsidR="00F13D41" w:rsidRPr="00DC6D09" w:rsidRDefault="00F13D41">
      <w:pPr>
        <w:pStyle w:val="BodyText"/>
        <w:rPr>
          <w:color w:val="auto"/>
          <w:sz w:val="22"/>
          <w:szCs w:val="22"/>
        </w:rPr>
      </w:pPr>
      <w:r w:rsidRPr="00DC6D09">
        <w:rPr>
          <w:color w:val="auto"/>
          <w:sz w:val="22"/>
          <w:szCs w:val="22"/>
        </w:rPr>
        <w:t>Acting on behalf of the people of each community, the school board will fulfill the following functions:</w:t>
      </w:r>
    </w:p>
    <w:p w:rsidR="00F13D41" w:rsidRPr="00DC6D09" w:rsidRDefault="00F13D41" w:rsidP="00F13D41">
      <w:pPr>
        <w:pStyle w:val="SpecialText"/>
        <w:ind w:left="0" w:firstLine="0"/>
        <w:rPr>
          <w:color w:val="auto"/>
          <w:sz w:val="22"/>
          <w:szCs w:val="22"/>
        </w:rPr>
      </w:pPr>
      <w:r w:rsidRPr="00DC6D09">
        <w:rPr>
          <w:color w:val="auto"/>
          <w:sz w:val="22"/>
          <w:szCs w:val="22"/>
        </w:rPr>
        <w:t>Responsible Governance:</w:t>
      </w:r>
    </w:p>
    <w:p w:rsidR="00F13D41" w:rsidRPr="00DC6D09" w:rsidRDefault="00F13D41" w:rsidP="00F13D41">
      <w:pPr>
        <w:pStyle w:val="IndentText"/>
        <w:spacing w:after="240"/>
        <w:rPr>
          <w:color w:val="auto"/>
          <w:sz w:val="22"/>
          <w:szCs w:val="22"/>
        </w:rPr>
      </w:pPr>
      <w:r w:rsidRPr="00DC6D09">
        <w:rPr>
          <w:color w:val="auto"/>
          <w:sz w:val="22"/>
          <w:szCs w:val="22"/>
        </w:rPr>
        <w:t>The board, with participation by the community, will envision the future of the school district's educational program and formulate goals, define outcomes and set the course for the school district. This will be done within the context of racial, ethnic and religious diversity and with a commitment to education excellence and equity for all students.</w:t>
      </w:r>
    </w:p>
    <w:p w:rsidR="00F13D41" w:rsidRPr="00DC6D09" w:rsidRDefault="00F13D41" w:rsidP="00F13D41">
      <w:pPr>
        <w:pStyle w:val="SpecialText"/>
        <w:ind w:left="0" w:firstLine="0"/>
        <w:rPr>
          <w:color w:val="auto"/>
          <w:sz w:val="22"/>
          <w:szCs w:val="22"/>
        </w:rPr>
      </w:pPr>
      <w:r w:rsidRPr="00DC6D09">
        <w:rPr>
          <w:color w:val="auto"/>
          <w:sz w:val="22"/>
          <w:szCs w:val="22"/>
        </w:rPr>
        <w:t>Creating Conditions for Student and Staff Success:</w:t>
      </w:r>
    </w:p>
    <w:p w:rsidR="00F13D41" w:rsidRPr="00DC6D09" w:rsidRDefault="00F13D41" w:rsidP="00F13D41">
      <w:pPr>
        <w:pStyle w:val="IndentText"/>
        <w:spacing w:after="240"/>
        <w:rPr>
          <w:color w:val="auto"/>
          <w:sz w:val="22"/>
          <w:szCs w:val="22"/>
        </w:rPr>
      </w:pPr>
      <w:r w:rsidRPr="00DC6D09">
        <w:rPr>
          <w:color w:val="auto"/>
          <w:sz w:val="22"/>
          <w:szCs w:val="22"/>
        </w:rPr>
        <w:t>To achieve the vision, the board will establish a structure which reflects local circumstances and creates an environment designed to ensure all students the opportunity to attain their maximum potential through a sound organizational framework. This includes employing a superintendent, developing and approving policies, formulating budgets, setting high instructional and learning goals for staff and students, and nurturing a climate conducive to continuous improvement.</w:t>
      </w:r>
    </w:p>
    <w:p w:rsidR="00F13D41" w:rsidRPr="00DC6D09" w:rsidRDefault="00F13D41" w:rsidP="00F13D41">
      <w:pPr>
        <w:pStyle w:val="SpecialText"/>
        <w:ind w:left="0" w:firstLine="0"/>
        <w:rPr>
          <w:color w:val="auto"/>
          <w:sz w:val="22"/>
          <w:szCs w:val="22"/>
        </w:rPr>
      </w:pPr>
      <w:r w:rsidRPr="00DC6D09">
        <w:rPr>
          <w:color w:val="auto"/>
          <w:sz w:val="22"/>
          <w:szCs w:val="22"/>
        </w:rPr>
        <w:t>High Expectations for Student Learning</w:t>
      </w:r>
    </w:p>
    <w:p w:rsidR="00F13D41" w:rsidRPr="00DC6D09" w:rsidRDefault="00F13D41" w:rsidP="00F13D41">
      <w:pPr>
        <w:pStyle w:val="IndentText"/>
        <w:spacing w:after="240"/>
        <w:rPr>
          <w:color w:val="auto"/>
          <w:sz w:val="22"/>
          <w:szCs w:val="22"/>
        </w:rPr>
      </w:pPr>
      <w:r w:rsidRPr="00DC6D09">
        <w:rPr>
          <w:color w:val="auto"/>
          <w:sz w:val="22"/>
          <w:szCs w:val="22"/>
        </w:rPr>
        <w:t xml:space="preserve">The board will continuously articulate the belief that all students can learn and that each student’s learning can improve regardless of existing circumstances or resources. The board will act as leaders of a vision of shared learning that is supported by individual schools and the community. </w:t>
      </w:r>
    </w:p>
    <w:p w:rsidR="00F13D41" w:rsidRPr="00DC6D09" w:rsidRDefault="00F13D41" w:rsidP="00F13D41">
      <w:pPr>
        <w:pStyle w:val="SpecialText"/>
        <w:ind w:left="0" w:firstLine="0"/>
        <w:rPr>
          <w:color w:val="auto"/>
          <w:sz w:val="22"/>
          <w:szCs w:val="22"/>
        </w:rPr>
      </w:pPr>
      <w:r w:rsidRPr="00DC6D09">
        <w:rPr>
          <w:color w:val="auto"/>
          <w:sz w:val="22"/>
          <w:szCs w:val="22"/>
        </w:rPr>
        <w:t>Accountability for Student Learning:</w:t>
      </w:r>
    </w:p>
    <w:p w:rsidR="00F13D41" w:rsidRPr="00DC6D09" w:rsidRDefault="00F13D41" w:rsidP="00F13D41">
      <w:pPr>
        <w:pStyle w:val="IndentText"/>
        <w:spacing w:after="240"/>
        <w:rPr>
          <w:color w:val="auto"/>
          <w:sz w:val="22"/>
          <w:szCs w:val="22"/>
        </w:rPr>
      </w:pPr>
      <w:r w:rsidRPr="00DC6D09">
        <w:rPr>
          <w:color w:val="auto"/>
          <w:sz w:val="22"/>
          <w:szCs w:val="22"/>
        </w:rPr>
        <w:t>The board's accountability for student learning will include adopting a system of continuous assessment of all conditions affecting education, including assessments for measuring staff and student progress towards goals. The public will be kept informed about programs and progress. Staff and board training will be provided to ensure continuous improvement of student achievement.</w:t>
      </w:r>
    </w:p>
    <w:p w:rsidR="00F13D41" w:rsidRPr="00DC6D09" w:rsidRDefault="00F13D41" w:rsidP="00F13D41">
      <w:pPr>
        <w:pStyle w:val="SpecialText"/>
        <w:ind w:left="0" w:firstLine="0"/>
        <w:rPr>
          <w:color w:val="auto"/>
          <w:sz w:val="22"/>
          <w:szCs w:val="22"/>
        </w:rPr>
      </w:pPr>
      <w:r w:rsidRPr="00DC6D09">
        <w:rPr>
          <w:color w:val="auto"/>
          <w:sz w:val="22"/>
          <w:szCs w:val="22"/>
        </w:rPr>
        <w:t>Community Engagement:</w:t>
      </w:r>
    </w:p>
    <w:p w:rsidR="00F13D41" w:rsidRPr="00DC6D09" w:rsidRDefault="00F13D41" w:rsidP="00F13D41">
      <w:pPr>
        <w:pStyle w:val="IndentText"/>
        <w:rPr>
          <w:color w:val="auto"/>
          <w:sz w:val="22"/>
          <w:szCs w:val="22"/>
        </w:rPr>
      </w:pPr>
      <w:r w:rsidRPr="00DC6D09">
        <w:rPr>
          <w:color w:val="auto"/>
          <w:sz w:val="22"/>
          <w:szCs w:val="22"/>
        </w:rPr>
        <w:t>The board will serve as education's key advocate on behalf of students and their schools. The board will work to advance the community's vision for its schools, pursue the district's goals, encourage progress and energize systemic change and ensure that students are treated as whole persons in a diversified society.</w:t>
      </w:r>
    </w:p>
    <w:p w:rsidR="00F13D41" w:rsidRPr="00DC6D09" w:rsidRDefault="00F13D41" w:rsidP="00F13D41">
      <w:pPr>
        <w:pStyle w:val="References"/>
        <w:tabs>
          <w:tab w:val="left" w:pos="3510"/>
        </w:tabs>
        <w:ind w:left="0" w:firstLine="0"/>
        <w:rPr>
          <w:noProof w:val="0"/>
          <w:sz w:val="22"/>
          <w:szCs w:val="22"/>
        </w:rPr>
      </w:pPr>
    </w:p>
    <w:p w:rsidR="00F13D41" w:rsidRPr="00DC6D09" w:rsidRDefault="00F13D41" w:rsidP="00F13D41">
      <w:pPr>
        <w:pStyle w:val="References"/>
        <w:tabs>
          <w:tab w:val="left" w:pos="3510"/>
        </w:tabs>
        <w:ind w:left="0" w:firstLine="0"/>
        <w:rPr>
          <w:sz w:val="22"/>
          <w:szCs w:val="22"/>
        </w:rPr>
      </w:pPr>
      <w:r w:rsidRPr="00DC6D09">
        <w:rPr>
          <w:sz w:val="22"/>
          <w:szCs w:val="22"/>
        </w:rPr>
        <w:t>Cross References:</w:t>
      </w:r>
      <w:r w:rsidRPr="00DC6D09">
        <w:rPr>
          <w:sz w:val="22"/>
          <w:szCs w:val="22"/>
        </w:rPr>
        <w:tab/>
        <w:t>Board Policy</w:t>
      </w:r>
      <w:r w:rsidRPr="00DC6D09">
        <w:rPr>
          <w:sz w:val="22"/>
          <w:szCs w:val="22"/>
        </w:rPr>
        <w:tab/>
        <w:t>0100</w:t>
      </w:r>
      <w:r w:rsidRPr="00DC6D09">
        <w:rPr>
          <w:sz w:val="22"/>
          <w:szCs w:val="22"/>
        </w:rPr>
        <w:tab/>
        <w:t>Commitment to Strategic Planning</w:t>
      </w:r>
    </w:p>
    <w:p w:rsidR="00F13D41" w:rsidRPr="00DC6D09" w:rsidRDefault="00F13D41" w:rsidP="00F13D41">
      <w:pPr>
        <w:pStyle w:val="References"/>
        <w:tabs>
          <w:tab w:val="left" w:pos="3510"/>
        </w:tabs>
        <w:rPr>
          <w:sz w:val="22"/>
          <w:szCs w:val="22"/>
        </w:rPr>
      </w:pPr>
      <w:r w:rsidRPr="00DC6D09">
        <w:rPr>
          <w:sz w:val="22"/>
          <w:szCs w:val="22"/>
        </w:rPr>
        <w:tab/>
      </w:r>
      <w:r w:rsidRPr="00DC6D09">
        <w:rPr>
          <w:sz w:val="22"/>
          <w:szCs w:val="22"/>
        </w:rPr>
        <w:tab/>
      </w:r>
      <w:r w:rsidRPr="00DC6D09">
        <w:rPr>
          <w:sz w:val="22"/>
          <w:szCs w:val="22"/>
        </w:rPr>
        <w:tab/>
        <w:t>0300</w:t>
      </w:r>
      <w:r w:rsidRPr="00DC6D09">
        <w:rPr>
          <w:sz w:val="22"/>
          <w:szCs w:val="22"/>
        </w:rPr>
        <w:tab/>
        <w:t>Planning Process</w:t>
      </w:r>
    </w:p>
    <w:p w:rsidR="00F13D41" w:rsidRPr="00DC6D09" w:rsidRDefault="00F13D41" w:rsidP="00F13D41">
      <w:pPr>
        <w:pStyle w:val="References"/>
        <w:tabs>
          <w:tab w:val="clear" w:pos="2790"/>
          <w:tab w:val="left" w:pos="3510"/>
        </w:tabs>
        <w:rPr>
          <w:sz w:val="22"/>
          <w:szCs w:val="22"/>
        </w:rPr>
      </w:pPr>
      <w:r w:rsidRPr="00DC6D09">
        <w:rPr>
          <w:sz w:val="22"/>
          <w:szCs w:val="22"/>
        </w:rPr>
        <w:tab/>
      </w:r>
      <w:r w:rsidRPr="00DC6D09">
        <w:rPr>
          <w:sz w:val="22"/>
          <w:szCs w:val="22"/>
        </w:rPr>
        <w:tab/>
        <w:t>0700</w:t>
      </w:r>
      <w:r w:rsidRPr="00DC6D09">
        <w:rPr>
          <w:sz w:val="22"/>
          <w:szCs w:val="22"/>
        </w:rPr>
        <w:tab/>
        <w:t>Strategic Plan Evaluation</w:t>
      </w:r>
    </w:p>
    <w:p w:rsidR="00F13D41" w:rsidRPr="00DC6D09" w:rsidRDefault="00F13D41" w:rsidP="00F13D41">
      <w:pPr>
        <w:pStyle w:val="References"/>
        <w:tabs>
          <w:tab w:val="clear" w:pos="2790"/>
          <w:tab w:val="left" w:pos="3510"/>
        </w:tabs>
        <w:rPr>
          <w:sz w:val="22"/>
          <w:szCs w:val="22"/>
        </w:rPr>
      </w:pPr>
      <w:r w:rsidRPr="00DC6D09">
        <w:rPr>
          <w:sz w:val="22"/>
          <w:szCs w:val="22"/>
        </w:rPr>
        <w:tab/>
      </w:r>
      <w:r w:rsidRPr="00DC6D09">
        <w:rPr>
          <w:sz w:val="22"/>
          <w:szCs w:val="22"/>
        </w:rPr>
        <w:tab/>
        <w:t>1310</w:t>
      </w:r>
      <w:r w:rsidRPr="00DC6D09">
        <w:rPr>
          <w:sz w:val="22"/>
          <w:szCs w:val="22"/>
        </w:rPr>
        <w:tab/>
        <w:t>Policy Adoption, Manuals and Administrative Procedures</w:t>
      </w:r>
    </w:p>
    <w:p w:rsidR="00F13D41" w:rsidRPr="00DC6D09" w:rsidRDefault="00F13D41" w:rsidP="00F13D41">
      <w:pPr>
        <w:pStyle w:val="References"/>
        <w:tabs>
          <w:tab w:val="clear" w:pos="2790"/>
          <w:tab w:val="left" w:pos="3510"/>
        </w:tabs>
        <w:rPr>
          <w:sz w:val="22"/>
          <w:szCs w:val="22"/>
        </w:rPr>
      </w:pPr>
      <w:r w:rsidRPr="00DC6D09">
        <w:rPr>
          <w:sz w:val="22"/>
          <w:szCs w:val="22"/>
        </w:rPr>
        <w:tab/>
      </w:r>
      <w:r w:rsidRPr="00DC6D09">
        <w:rPr>
          <w:sz w:val="22"/>
          <w:szCs w:val="22"/>
        </w:rPr>
        <w:tab/>
        <w:t>1810</w:t>
      </w:r>
      <w:r w:rsidRPr="00DC6D09">
        <w:rPr>
          <w:sz w:val="22"/>
          <w:szCs w:val="22"/>
        </w:rPr>
        <w:tab/>
        <w:t>Annual Governance Goals and Objectives</w:t>
      </w:r>
    </w:p>
    <w:p w:rsidR="00F13D41" w:rsidRPr="00DC6D09" w:rsidRDefault="00F13D41" w:rsidP="00F13D41">
      <w:pPr>
        <w:pStyle w:val="References"/>
        <w:tabs>
          <w:tab w:val="clear" w:pos="2790"/>
          <w:tab w:val="left" w:pos="3510"/>
        </w:tabs>
        <w:rPr>
          <w:sz w:val="22"/>
          <w:szCs w:val="22"/>
        </w:rPr>
      </w:pPr>
      <w:r w:rsidRPr="00DC6D09">
        <w:rPr>
          <w:sz w:val="22"/>
          <w:szCs w:val="22"/>
        </w:rPr>
        <w:tab/>
      </w:r>
      <w:r w:rsidRPr="00DC6D09">
        <w:rPr>
          <w:sz w:val="22"/>
          <w:szCs w:val="22"/>
        </w:rPr>
        <w:tab/>
        <w:t>1820</w:t>
      </w:r>
      <w:r w:rsidRPr="00DC6D09">
        <w:rPr>
          <w:sz w:val="22"/>
          <w:szCs w:val="22"/>
        </w:rPr>
        <w:tab/>
        <w:t>Board Self-Assessment</w:t>
      </w:r>
    </w:p>
    <w:p w:rsidR="004E5945" w:rsidRPr="00DC6D09" w:rsidRDefault="004E5945" w:rsidP="00F13D41">
      <w:pPr>
        <w:pStyle w:val="References"/>
        <w:tabs>
          <w:tab w:val="clear" w:pos="2790"/>
          <w:tab w:val="left" w:pos="3510"/>
        </w:tabs>
        <w:rPr>
          <w:sz w:val="22"/>
          <w:szCs w:val="22"/>
        </w:rPr>
      </w:pPr>
      <w:r w:rsidRPr="00DC6D09">
        <w:rPr>
          <w:sz w:val="22"/>
          <w:szCs w:val="22"/>
        </w:rPr>
        <w:t>Management Resource:</w:t>
      </w:r>
    </w:p>
    <w:p w:rsidR="004E5945" w:rsidRPr="00DC6D09" w:rsidRDefault="004E5945" w:rsidP="00F13D41">
      <w:pPr>
        <w:pStyle w:val="References"/>
        <w:tabs>
          <w:tab w:val="clear" w:pos="2790"/>
          <w:tab w:val="left" w:pos="3510"/>
        </w:tabs>
        <w:rPr>
          <w:sz w:val="22"/>
          <w:szCs w:val="22"/>
        </w:rPr>
      </w:pPr>
      <w:r w:rsidRPr="00DC6D09">
        <w:rPr>
          <w:sz w:val="22"/>
          <w:szCs w:val="22"/>
        </w:rPr>
        <w:tab/>
        <w:t>Washington School Board Standards (Adopted June 27, 2009)</w:t>
      </w:r>
    </w:p>
    <w:p w:rsidR="003D7532" w:rsidRPr="00DC6D09" w:rsidRDefault="003D7532" w:rsidP="00F13D41">
      <w:pPr>
        <w:pStyle w:val="References"/>
        <w:tabs>
          <w:tab w:val="clear" w:pos="2790"/>
          <w:tab w:val="left" w:pos="3510"/>
        </w:tabs>
        <w:rPr>
          <w:sz w:val="22"/>
          <w:szCs w:val="22"/>
        </w:rPr>
      </w:pPr>
      <w:r w:rsidRPr="00DC6D09">
        <w:rPr>
          <w:sz w:val="22"/>
          <w:szCs w:val="22"/>
        </w:rPr>
        <w:tab/>
      </w:r>
      <w:r w:rsidRPr="00DC6D09">
        <w:rPr>
          <w:i/>
          <w:sz w:val="22"/>
          <w:szCs w:val="22"/>
        </w:rPr>
        <w:t xml:space="preserve">Policy News, </w:t>
      </w:r>
      <w:r w:rsidRPr="00DC6D09">
        <w:rPr>
          <w:sz w:val="22"/>
          <w:szCs w:val="22"/>
        </w:rPr>
        <w:t>February 2012</w:t>
      </w:r>
      <w:r w:rsidRPr="00DC6D09">
        <w:rPr>
          <w:sz w:val="22"/>
          <w:szCs w:val="22"/>
        </w:rPr>
        <w:tab/>
        <w:t>Model Policies Aligned with Washington School Board Standards</w:t>
      </w:r>
    </w:p>
    <w:p w:rsidR="00DC6D09" w:rsidRPr="00DC6D09" w:rsidRDefault="00DC6D09" w:rsidP="00F13D41">
      <w:pPr>
        <w:pStyle w:val="AdoptionDate"/>
        <w:rPr>
          <w:rFonts w:ascii="Times New Roman" w:hAnsi="Times New Roman"/>
          <w:sz w:val="22"/>
          <w:szCs w:val="22"/>
        </w:rPr>
      </w:pPr>
    </w:p>
    <w:p w:rsidR="00F13D41" w:rsidRPr="00DC6D09" w:rsidRDefault="00F13D41" w:rsidP="00F13D41">
      <w:pPr>
        <w:pStyle w:val="AdoptionDate"/>
        <w:rPr>
          <w:rFonts w:ascii="Times New Roman" w:hAnsi="Times New Roman"/>
          <w:sz w:val="22"/>
          <w:szCs w:val="22"/>
        </w:rPr>
      </w:pPr>
      <w:r w:rsidRPr="00DC6D09">
        <w:rPr>
          <w:rFonts w:ascii="Times New Roman" w:hAnsi="Times New Roman"/>
          <w:sz w:val="22"/>
          <w:szCs w:val="22"/>
        </w:rPr>
        <w:t xml:space="preserve">Adoption Date: </w:t>
      </w:r>
      <w:r w:rsidR="005C4907">
        <w:rPr>
          <w:rFonts w:ascii="Times New Roman" w:hAnsi="Times New Roman"/>
          <w:sz w:val="22"/>
          <w:szCs w:val="22"/>
        </w:rPr>
        <w:t>March 15</w:t>
      </w:r>
      <w:r w:rsidR="005D3E58">
        <w:rPr>
          <w:rFonts w:ascii="Times New Roman" w:hAnsi="Times New Roman"/>
          <w:sz w:val="22"/>
          <w:szCs w:val="22"/>
        </w:rPr>
        <w:t>, 2012</w:t>
      </w:r>
      <w:r w:rsidR="00DC6D09">
        <w:rPr>
          <w:rFonts w:ascii="Times New Roman" w:hAnsi="Times New Roman"/>
          <w:sz w:val="22"/>
          <w:szCs w:val="22"/>
        </w:rPr>
        <w:t xml:space="preserve"> (by Policy 1310)</w:t>
      </w:r>
    </w:p>
    <w:p w:rsidR="00F13D41" w:rsidRPr="00DC6D09" w:rsidRDefault="00DC6D09" w:rsidP="00F13D41">
      <w:pPr>
        <w:pStyle w:val="AdoptionDate"/>
        <w:rPr>
          <w:rFonts w:ascii="Times New Roman" w:hAnsi="Times New Roman"/>
          <w:sz w:val="22"/>
          <w:szCs w:val="22"/>
        </w:rPr>
      </w:pPr>
      <w:r>
        <w:rPr>
          <w:rFonts w:ascii="Times New Roman" w:hAnsi="Times New Roman"/>
          <w:sz w:val="22"/>
          <w:szCs w:val="22"/>
        </w:rPr>
        <w:t>Klickitat School District</w:t>
      </w:r>
    </w:p>
    <w:p w:rsidR="00F13D41" w:rsidRPr="00DC6D09" w:rsidRDefault="00F13D41" w:rsidP="00F13D41">
      <w:pPr>
        <w:pStyle w:val="AdoptionDate"/>
        <w:rPr>
          <w:rFonts w:ascii="Times New Roman" w:hAnsi="Times New Roman"/>
          <w:sz w:val="22"/>
          <w:szCs w:val="22"/>
        </w:rPr>
      </w:pPr>
      <w:r w:rsidRPr="00DC6D09">
        <w:rPr>
          <w:rFonts w:ascii="Times New Roman" w:hAnsi="Times New Roman"/>
          <w:sz w:val="22"/>
          <w:szCs w:val="22"/>
        </w:rPr>
        <w:t xml:space="preserve">Revised: 04.97; </w:t>
      </w:r>
      <w:r w:rsidR="00EC4585" w:rsidRPr="00DC6D09">
        <w:rPr>
          <w:rFonts w:ascii="Times New Roman" w:hAnsi="Times New Roman"/>
          <w:b w:val="0"/>
          <w:sz w:val="22"/>
          <w:szCs w:val="22"/>
        </w:rPr>
        <w:t>0</w:t>
      </w:r>
      <w:r w:rsidR="003D7532" w:rsidRPr="00DC6D09">
        <w:rPr>
          <w:rFonts w:ascii="Times New Roman" w:hAnsi="Times New Roman"/>
          <w:b w:val="0"/>
          <w:sz w:val="22"/>
          <w:szCs w:val="22"/>
        </w:rPr>
        <w:t>2.12</w:t>
      </w:r>
    </w:p>
    <w:p w:rsidR="00F13D41" w:rsidRPr="00DC6D09" w:rsidRDefault="00F13D41" w:rsidP="00F13D41">
      <w:pPr>
        <w:pStyle w:val="AdoptionDate"/>
        <w:rPr>
          <w:rFonts w:ascii="Times New Roman" w:hAnsi="Times New Roman"/>
          <w:sz w:val="22"/>
          <w:szCs w:val="22"/>
        </w:rPr>
      </w:pPr>
      <w:r w:rsidRPr="00DC6D09">
        <w:rPr>
          <w:rFonts w:ascii="Times New Roman" w:hAnsi="Times New Roman"/>
          <w:sz w:val="22"/>
          <w:szCs w:val="22"/>
        </w:rPr>
        <w:t>Classification: Priority</w:t>
      </w:r>
    </w:p>
    <w:sectPr w:rsidR="00F13D41" w:rsidRPr="00DC6D09" w:rsidSect="00F13D41">
      <w:headerReference w:type="default" r:id="rId7"/>
      <w:pgSz w:w="12240" w:h="15840"/>
      <w:pgMar w:top="720" w:right="1440" w:bottom="720" w:left="1440" w:header="36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9DB" w:rsidRDefault="00DA59DB">
      <w:r>
        <w:separator/>
      </w:r>
    </w:p>
  </w:endnote>
  <w:endnote w:type="continuationSeparator" w:id="0">
    <w:p w:rsidR="00DA59DB" w:rsidRDefault="00DA59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9DB" w:rsidRDefault="00DA59DB">
      <w:r>
        <w:separator/>
      </w:r>
    </w:p>
  </w:footnote>
  <w:footnote w:type="continuationSeparator" w:id="0">
    <w:p w:rsidR="00DA59DB" w:rsidRDefault="00DA5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41" w:rsidRDefault="00F13D41">
    <w:pPr>
      <w:pStyle w:val="Header"/>
      <w:framePr w:wrap="around"/>
    </w:pPr>
    <w:r>
      <w:t>Policy No. 1005</w:t>
    </w:r>
  </w:p>
  <w:p w:rsidR="00F13D41" w:rsidRDefault="00F13D41">
    <w:pPr>
      <w:pStyle w:val="Header"/>
      <w:framePr w:wrap="around"/>
    </w:pPr>
    <w:r>
      <w:t>Board of Directors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C0123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0540D9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03A1C4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3B8497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2ECEE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46671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AF0E4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86029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0CB0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7D0DA10"/>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singleLevel"/>
    <w:tmpl w:val="000F0409"/>
    <w:lvl w:ilvl="0">
      <w:start w:val="2"/>
      <w:numFmt w:val="decimal"/>
      <w:lvlText w:val="%1."/>
      <w:lvlJc w:val="left"/>
      <w:pPr>
        <w:tabs>
          <w:tab w:val="num" w:pos="360"/>
        </w:tabs>
        <w:ind w:left="360" w:hanging="360"/>
      </w:pPr>
      <w:rPr>
        <w:rFonts w:cs="Times New Roman" w:hint="default"/>
      </w:rPr>
    </w:lvl>
  </w:abstractNum>
  <w:abstractNum w:abstractNumId="11">
    <w:nsid w:val="00000005"/>
    <w:multiLevelType w:val="singleLevel"/>
    <w:tmpl w:val="000F0409"/>
    <w:lvl w:ilvl="0">
      <w:start w:val="1"/>
      <w:numFmt w:val="decimal"/>
      <w:lvlText w:val="%1."/>
      <w:lvlJc w:val="left"/>
      <w:pPr>
        <w:tabs>
          <w:tab w:val="num" w:pos="360"/>
        </w:tabs>
        <w:ind w:left="360" w:hanging="360"/>
      </w:pPr>
      <w:rPr>
        <w:rFonts w:cs="Times New Roman" w:hint="default"/>
      </w:rPr>
    </w:lvl>
  </w:abstractNum>
  <w:abstractNum w:abstractNumId="12">
    <w:nsid w:val="018D1CC8"/>
    <w:multiLevelType w:val="hybridMultilevel"/>
    <w:tmpl w:val="9BBC13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457203E"/>
    <w:multiLevelType w:val="hybridMultilevel"/>
    <w:tmpl w:val="82661FDC"/>
    <w:lvl w:ilvl="0" w:tplc="850A350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C46627"/>
    <w:multiLevelType w:val="hybridMultilevel"/>
    <w:tmpl w:val="8140F3EE"/>
    <w:lvl w:ilvl="0" w:tplc="FFFFFFFF">
      <w:start w:val="1"/>
      <w:numFmt w:val="lowerLetter"/>
      <w:pStyle w:val="Level3"/>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1D4063FE"/>
    <w:multiLevelType w:val="hybridMultilevel"/>
    <w:tmpl w:val="1686797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8A5EBF"/>
    <w:multiLevelType w:val="hybridMultilevel"/>
    <w:tmpl w:val="3EEAE918"/>
    <w:lvl w:ilvl="0" w:tplc="FFFFFFFF">
      <w:start w:val="1"/>
      <w:numFmt w:val="upperLetter"/>
      <w:pStyle w:val="Level1"/>
      <w:lvlText w:val="%1."/>
      <w:lvlJc w:val="left"/>
      <w:pPr>
        <w:tabs>
          <w:tab w:val="num" w:pos="360"/>
        </w:tabs>
        <w:ind w:left="360" w:hanging="360"/>
      </w:pPr>
      <w:rPr>
        <w:rFonts w:ascii="Times New Roman" w:hAnsi="Times New Roman" w:cs="Times New Roman" w:hint="default"/>
        <w:b w:val="0"/>
        <w:i w:val="0"/>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3A9F2DB1"/>
    <w:multiLevelType w:val="hybridMultilevel"/>
    <w:tmpl w:val="1316B370"/>
    <w:lvl w:ilvl="0" w:tplc="FFFFFFFF">
      <w:start w:val="1"/>
      <w:numFmt w:val="decimal"/>
      <w:pStyle w:val="Level2"/>
      <w:lvlText w:val="%1."/>
      <w:lvlJc w:val="left"/>
      <w:pPr>
        <w:tabs>
          <w:tab w:val="num" w:pos="720"/>
        </w:tabs>
        <w:ind w:left="720" w:hanging="360"/>
      </w:pPr>
      <w:rPr>
        <w:rFonts w:ascii="Times New Roman" w:hAnsi="Times New Roman" w:cs="Times New Roman" w:hint="default"/>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41272C08"/>
    <w:multiLevelType w:val="hybridMultilevel"/>
    <w:tmpl w:val="F234605E"/>
    <w:lvl w:ilvl="0" w:tplc="FFFFFFFF">
      <w:start w:val="1"/>
      <w:numFmt w:val="bullet"/>
      <w:lvlText w:val=""/>
      <w:lvlJc w:val="left"/>
      <w:pPr>
        <w:tabs>
          <w:tab w:val="num" w:pos="360"/>
        </w:tabs>
        <w:ind w:left="216"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B5672CC"/>
    <w:multiLevelType w:val="multilevel"/>
    <w:tmpl w:val="82661FD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BDB1A66"/>
    <w:multiLevelType w:val="hybridMultilevel"/>
    <w:tmpl w:val="DEB41C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9848CC"/>
    <w:multiLevelType w:val="hybridMultilevel"/>
    <w:tmpl w:val="103C2B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0"/>
  </w:num>
  <w:num w:numId="3">
    <w:abstractNumId w:val="11"/>
  </w:num>
  <w:num w:numId="4">
    <w:abstractNumId w:val="18"/>
  </w:num>
  <w:num w:numId="5">
    <w:abstractNumId w:val="16"/>
  </w:num>
  <w:num w:numId="6">
    <w:abstractNumId w:val="16"/>
    <w:lvlOverride w:ilvl="0">
      <w:startOverride w:val="1"/>
    </w:lvlOverride>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21"/>
  </w:num>
  <w:num w:numId="20">
    <w:abstractNumId w:val="20"/>
  </w:num>
  <w:num w:numId="21">
    <w:abstractNumId w:val="15"/>
  </w:num>
  <w:num w:numId="22">
    <w:abstractNumId w:val="13"/>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8"/>
  <w:stylePaneSortMethod w:val="0000"/>
  <w:doNotTrackMoves/>
  <w:defaultTabStop w:val="720"/>
  <w:hyphenationZone w:val="1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5ADB"/>
    <w:rsid w:val="000C5ADB"/>
    <w:rsid w:val="003D7532"/>
    <w:rsid w:val="003F48D4"/>
    <w:rsid w:val="004E5945"/>
    <w:rsid w:val="005C4907"/>
    <w:rsid w:val="005D3E58"/>
    <w:rsid w:val="00820714"/>
    <w:rsid w:val="008B79B1"/>
    <w:rsid w:val="00D4295C"/>
    <w:rsid w:val="00D819EC"/>
    <w:rsid w:val="00DA59DB"/>
    <w:rsid w:val="00DC6D09"/>
    <w:rsid w:val="00EC4585"/>
    <w:rsid w:val="00F13D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46ADB"/>
    <w:rPr>
      <w:rFonts w:cs="Times"/>
      <w:sz w:val="24"/>
      <w:szCs w:val="24"/>
    </w:rPr>
  </w:style>
  <w:style w:type="paragraph" w:styleId="Heading1">
    <w:name w:val="heading 1"/>
    <w:basedOn w:val="Normal"/>
    <w:next w:val="BodyText"/>
    <w:link w:val="Heading1Char"/>
    <w:uiPriority w:val="9"/>
    <w:qFormat/>
    <w:rsid w:val="00FA0BFA"/>
    <w:pPr>
      <w:keepNext/>
      <w:spacing w:after="120"/>
      <w:jc w:val="center"/>
      <w:outlineLvl w:val="0"/>
    </w:pPr>
    <w:rPr>
      <w:rFonts w:ascii="Arial" w:hAnsi="Arial" w:cs="Times New Roman"/>
      <w:b/>
      <w:noProof/>
      <w:kern w:val="32"/>
      <w:sz w:val="32"/>
      <w:szCs w:val="20"/>
    </w:rPr>
  </w:style>
  <w:style w:type="paragraph" w:styleId="Heading2">
    <w:name w:val="heading 2"/>
    <w:basedOn w:val="Normal"/>
    <w:next w:val="Normal"/>
    <w:link w:val="Heading2Char"/>
    <w:uiPriority w:val="9"/>
    <w:qFormat/>
    <w:rsid w:val="00AF5303"/>
    <w:pPr>
      <w:keepNext/>
      <w:spacing w:before="120" w:after="120"/>
      <w:outlineLvl w:val="1"/>
    </w:pPr>
    <w:rPr>
      <w:rFonts w:ascii="Arial" w:hAnsi="Arial" w:cs="Times New Roman"/>
      <w:b/>
      <w:bCs/>
      <w:iCs/>
      <w:sz w:val="28"/>
      <w:szCs w:val="28"/>
    </w:rPr>
  </w:style>
  <w:style w:type="paragraph" w:styleId="Heading3">
    <w:name w:val="heading 3"/>
    <w:basedOn w:val="Normal"/>
    <w:next w:val="Normal"/>
    <w:link w:val="Heading3Char"/>
    <w:uiPriority w:val="9"/>
    <w:qFormat/>
    <w:rsid w:val="00BB771F"/>
    <w:pPr>
      <w:keepNext/>
      <w:spacing w:before="120"/>
      <w:outlineLvl w:val="2"/>
    </w:pPr>
    <w:rPr>
      <w:rFonts w:ascii="Arial"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A0BFA"/>
    <w:rPr>
      <w:rFonts w:ascii="Arial" w:hAnsi="Arial" w:cs="Times New Roman"/>
      <w:b/>
      <w:noProof/>
      <w:kern w:val="32"/>
      <w:sz w:val="32"/>
    </w:rPr>
  </w:style>
  <w:style w:type="character" w:customStyle="1" w:styleId="Heading2Char">
    <w:name w:val="Heading 2 Char"/>
    <w:link w:val="Heading2"/>
    <w:uiPriority w:val="9"/>
    <w:locked/>
    <w:rsid w:val="00AF5303"/>
    <w:rPr>
      <w:rFonts w:ascii="Arial" w:eastAsia="Times New Roman" w:hAnsi="Arial" w:cs="Times"/>
      <w:b/>
      <w:bCs/>
      <w:iCs/>
      <w:sz w:val="28"/>
      <w:szCs w:val="28"/>
    </w:rPr>
  </w:style>
  <w:style w:type="character" w:customStyle="1" w:styleId="Heading3Char">
    <w:name w:val="Heading 3 Char"/>
    <w:link w:val="Heading3"/>
    <w:uiPriority w:val="9"/>
    <w:locked/>
    <w:rsid w:val="00BB771F"/>
    <w:rPr>
      <w:rFonts w:ascii="Arial" w:eastAsia="Times New Roman" w:hAnsi="Arial" w:cs="Times"/>
      <w:b/>
      <w:bCs/>
      <w:sz w:val="26"/>
      <w:szCs w:val="26"/>
    </w:rPr>
  </w:style>
  <w:style w:type="paragraph" w:styleId="BodyText">
    <w:name w:val="Body Text"/>
    <w:basedOn w:val="Normal"/>
    <w:link w:val="BodyTextChar"/>
    <w:uiPriority w:val="99"/>
    <w:qFormat/>
    <w:rsid w:val="00D819EC"/>
    <w:pPr>
      <w:spacing w:after="120"/>
    </w:pPr>
    <w:rPr>
      <w:rFonts w:cs="Times New Roman"/>
      <w:color w:val="0000FF"/>
      <w:szCs w:val="20"/>
    </w:rPr>
  </w:style>
  <w:style w:type="character" w:customStyle="1" w:styleId="BodyTextChar">
    <w:name w:val="Body Text Char"/>
    <w:link w:val="BodyText"/>
    <w:uiPriority w:val="99"/>
    <w:semiHidden/>
    <w:locked/>
    <w:rsid w:val="00D819EC"/>
    <w:rPr>
      <w:rFonts w:cs="Times New Roman"/>
      <w:color w:val="0000FF"/>
      <w:sz w:val="24"/>
    </w:rPr>
  </w:style>
  <w:style w:type="paragraph" w:customStyle="1" w:styleId="Level1">
    <w:name w:val="Level 1"/>
    <w:basedOn w:val="Normal"/>
    <w:rsid w:val="00D819EC"/>
    <w:pPr>
      <w:numPr>
        <w:numId w:val="5"/>
      </w:numPr>
      <w:spacing w:after="120"/>
    </w:pPr>
  </w:style>
  <w:style w:type="paragraph" w:customStyle="1" w:styleId="AdoptionDate">
    <w:name w:val="Adoption Date"/>
    <w:qFormat/>
    <w:rsid w:val="00667B01"/>
    <w:rPr>
      <w:rFonts w:ascii="Arial" w:hAnsi="Arial"/>
      <w:b/>
      <w:noProof/>
    </w:rPr>
  </w:style>
  <w:style w:type="paragraph" w:customStyle="1" w:styleId="References">
    <w:name w:val="References"/>
    <w:rsid w:val="00D819EC"/>
    <w:pPr>
      <w:tabs>
        <w:tab w:val="left" w:pos="-5040"/>
        <w:tab w:val="left" w:pos="2160"/>
        <w:tab w:val="left" w:pos="2790"/>
        <w:tab w:val="left" w:pos="5400"/>
        <w:tab w:val="left" w:pos="5760"/>
      </w:tabs>
      <w:suppressAutoHyphens/>
      <w:ind w:left="5760" w:hanging="5760"/>
    </w:pPr>
    <w:rPr>
      <w:noProof/>
      <w:sz w:val="24"/>
      <w:szCs w:val="24"/>
    </w:rPr>
  </w:style>
  <w:style w:type="paragraph" w:styleId="Footer">
    <w:name w:val="footer"/>
    <w:basedOn w:val="Normal"/>
    <w:link w:val="FooterChar"/>
    <w:uiPriority w:val="99"/>
    <w:qFormat/>
    <w:rsid w:val="00667B01"/>
    <w:pPr>
      <w:tabs>
        <w:tab w:val="center" w:pos="4320"/>
        <w:tab w:val="right" w:pos="8640"/>
      </w:tabs>
      <w:jc w:val="right"/>
    </w:pPr>
    <w:rPr>
      <w:rFonts w:ascii="Arial" w:hAnsi="Arial" w:cs="Times New Roman"/>
      <w:b/>
      <w:noProof/>
      <w:color w:val="000000"/>
      <w:sz w:val="20"/>
      <w:szCs w:val="20"/>
    </w:rPr>
  </w:style>
  <w:style w:type="character" w:customStyle="1" w:styleId="FooterChar">
    <w:name w:val="Footer Char"/>
    <w:link w:val="Footer"/>
    <w:uiPriority w:val="99"/>
    <w:locked/>
    <w:rsid w:val="00667B01"/>
    <w:rPr>
      <w:rFonts w:ascii="Arial" w:hAnsi="Arial" w:cs="Times"/>
      <w:b/>
      <w:noProof/>
      <w:color w:val="000000"/>
      <w:sz w:val="20"/>
    </w:rPr>
  </w:style>
  <w:style w:type="paragraph" w:styleId="Header">
    <w:name w:val="header"/>
    <w:basedOn w:val="Normal"/>
    <w:link w:val="HeaderChar"/>
    <w:uiPriority w:val="99"/>
    <w:qFormat/>
    <w:rsid w:val="00667B01"/>
    <w:pPr>
      <w:framePr w:w="9315" w:hSpace="187" w:vSpace="360" w:wrap="around" w:vAnchor="text" w:hAnchor="page" w:x="1449" w:y="1"/>
      <w:tabs>
        <w:tab w:val="center" w:pos="4320"/>
        <w:tab w:val="right" w:pos="8640"/>
      </w:tabs>
      <w:jc w:val="right"/>
    </w:pPr>
    <w:rPr>
      <w:rFonts w:ascii="Arial" w:hAnsi="Arial" w:cs="Times New Roman"/>
      <w:b/>
      <w:noProof/>
      <w:sz w:val="20"/>
      <w:szCs w:val="20"/>
    </w:rPr>
  </w:style>
  <w:style w:type="character" w:customStyle="1" w:styleId="HeaderChar">
    <w:name w:val="Header Char"/>
    <w:link w:val="Header"/>
    <w:uiPriority w:val="99"/>
    <w:locked/>
    <w:rsid w:val="00667B01"/>
    <w:rPr>
      <w:rFonts w:ascii="Arial" w:hAnsi="Arial" w:cs="Times"/>
      <w:b/>
      <w:noProof/>
      <w:sz w:val="20"/>
    </w:rPr>
  </w:style>
  <w:style w:type="paragraph" w:customStyle="1" w:styleId="Level2">
    <w:name w:val="Level 2"/>
    <w:basedOn w:val="Normal"/>
    <w:rsid w:val="00D819EC"/>
    <w:pPr>
      <w:numPr>
        <w:numId w:val="1"/>
      </w:numPr>
      <w:spacing w:after="60"/>
    </w:pPr>
  </w:style>
  <w:style w:type="paragraph" w:customStyle="1" w:styleId="TOC">
    <w:name w:val="TOC"/>
    <w:rsid w:val="00D819EC"/>
    <w:pPr>
      <w:tabs>
        <w:tab w:val="left" w:pos="720"/>
        <w:tab w:val="left" w:leader="dot" w:pos="8640"/>
      </w:tabs>
      <w:spacing w:line="240" w:lineRule="atLeast"/>
      <w:ind w:right="-187"/>
    </w:pPr>
    <w:rPr>
      <w:noProof/>
      <w:color w:val="000000"/>
      <w:sz w:val="24"/>
      <w:szCs w:val="24"/>
    </w:rPr>
  </w:style>
  <w:style w:type="paragraph" w:customStyle="1" w:styleId="Bullet">
    <w:name w:val="Bullet"/>
    <w:basedOn w:val="Normal"/>
    <w:rsid w:val="00D819EC"/>
    <w:pPr>
      <w:tabs>
        <w:tab w:val="num" w:pos="360"/>
      </w:tabs>
      <w:ind w:left="216" w:hanging="216"/>
    </w:pPr>
  </w:style>
  <w:style w:type="paragraph" w:styleId="BalloonText">
    <w:name w:val="Balloon Text"/>
    <w:basedOn w:val="Normal"/>
    <w:link w:val="BalloonTextChar"/>
    <w:uiPriority w:val="99"/>
    <w:semiHidden/>
    <w:rsid w:val="009D589D"/>
    <w:rPr>
      <w:rFonts w:ascii="Tahoma" w:hAnsi="Tahoma" w:cs="Times New Roman"/>
      <w:color w:val="0000FF"/>
      <w:sz w:val="16"/>
      <w:szCs w:val="16"/>
    </w:rPr>
  </w:style>
  <w:style w:type="character" w:customStyle="1" w:styleId="BalloonTextChar">
    <w:name w:val="Balloon Text Char"/>
    <w:link w:val="BalloonText"/>
    <w:uiPriority w:val="99"/>
    <w:semiHidden/>
    <w:locked/>
    <w:rsid w:val="00D819EC"/>
    <w:rPr>
      <w:rFonts w:ascii="Tahoma" w:hAnsi="Tahoma" w:cs="Tahoma"/>
      <w:color w:val="0000FF"/>
      <w:sz w:val="16"/>
      <w:szCs w:val="16"/>
    </w:rPr>
  </w:style>
  <w:style w:type="paragraph" w:customStyle="1" w:styleId="Level3">
    <w:name w:val="Level 3"/>
    <w:basedOn w:val="Normal"/>
    <w:rsid w:val="00D819EC"/>
    <w:pPr>
      <w:numPr>
        <w:numId w:val="7"/>
      </w:numPr>
    </w:pPr>
  </w:style>
  <w:style w:type="paragraph" w:customStyle="1" w:styleId="IndentText">
    <w:name w:val="Indent Text"/>
    <w:basedOn w:val="BodyText"/>
    <w:rsid w:val="00D819EC"/>
    <w:pPr>
      <w:ind w:left="360"/>
    </w:pPr>
  </w:style>
  <w:style w:type="paragraph" w:customStyle="1" w:styleId="SpecialText">
    <w:name w:val="Special Text"/>
    <w:basedOn w:val="BodyText"/>
    <w:rsid w:val="00AF6114"/>
    <w:pPr>
      <w:tabs>
        <w:tab w:val="left" w:pos="270"/>
        <w:tab w:val="left" w:pos="720"/>
      </w:tabs>
      <w:spacing w:after="0"/>
      <w:ind w:left="720" w:hanging="720"/>
    </w:pPr>
    <w:rPr>
      <w:b/>
    </w:rPr>
  </w:style>
  <w:style w:type="paragraph" w:customStyle="1" w:styleId="ColorfulList-Accent11">
    <w:name w:val="Colorful List - Accent 11"/>
    <w:basedOn w:val="Normal"/>
    <w:uiPriority w:val="34"/>
    <w:rsid w:val="0019290A"/>
    <w:pPr>
      <w:ind w:left="720"/>
    </w:pPr>
  </w:style>
  <w:style w:type="paragraph" w:customStyle="1" w:styleId="WPDefaults">
    <w:name w:val="WP Defaults"/>
    <w:rsid w:val="00546AD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Geneva" w:hAnsi="Geneva"/>
      <w:color w:val="00000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6000BP - Program Planning, Budget Preparation, Adoption and Implementation</vt:lpstr>
    </vt:vector>
  </TitlesOfParts>
  <Company>WSSDA</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6000BP - Program Planning, Budget Preparation, Adoption and Implementation</dc:title>
  <dc:subject/>
  <dc:creator>Policy AA</dc:creator>
  <cp:keywords/>
  <cp:lastModifiedBy>lynchj</cp:lastModifiedBy>
  <cp:revision>4</cp:revision>
  <cp:lastPrinted>2011-10-28T05:09:00Z</cp:lastPrinted>
  <dcterms:created xsi:type="dcterms:W3CDTF">2012-03-05T18:49:00Z</dcterms:created>
  <dcterms:modified xsi:type="dcterms:W3CDTF">2013-08-28T18:29:00Z</dcterms:modified>
</cp:coreProperties>
</file>