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omic Sans MS" w:cs="Comic Sans MS" w:eastAsia="Comic Sans MS" w:hAnsi="Comic Sans MS"/>
          <w:color w:val="00000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rtl w:val="0"/>
        </w:rPr>
        <w:t xml:space="preserve">Ms. Tolliver (she/her)</w:t>
      </w:r>
    </w:p>
    <w:p w:rsidR="00000000" w:rsidDel="00000000" w:rsidP="00000000" w:rsidRDefault="00000000" w:rsidRPr="00000000" w14:paraId="00000002">
      <w:pPr>
        <w:pageBreakBefore w:val="0"/>
        <w:rPr>
          <w:rFonts w:ascii="Comic Sans MS" w:cs="Comic Sans MS" w:eastAsia="Comic Sans MS" w:hAnsi="Comic Sans MS"/>
          <w:color w:val="00000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0"/>
          <w:szCs w:val="20"/>
          <w:rtl w:val="0"/>
        </w:rPr>
        <w:t xml:space="preserve">Plan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: 4th and 5th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m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sz w:val="20"/>
            <w:szCs w:val="20"/>
            <w:rtl w:val="0"/>
          </w:rPr>
          <w:t xml:space="preserve">adison.tolliver@slps.org</w:t>
        </w:r>
      </w:hyperlink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The Teacher: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received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my BS in Secondary Education- English and MA in Educational Studi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(English)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from Southeast Missouri State University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. I love reading, writing,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Real Housewives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, animals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and exploring new places.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Expectations: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Always keep an open-mind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Bring laptop and charger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Keep binder in the classroom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Presume positive intentions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Course Description E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nglish II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pageBreakBefore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Reading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understand more from and make fuller use of written materials, including using a wider range of evidence to support an analysis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make more connections about how complex ideas interact and develop within a book, essay, or article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evaluate arguments and specific claims; assessing whether the reasoning is valid and the evidence is sufficient; and as appropriate, detecting inconsistencies and ambiguities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analyze the meaning of foundational U.S. documents (the Declaration of Independence, the Preamble to the Constitution, the Bill of Rights)</w:t>
      </w:r>
    </w:p>
    <w:p w:rsidR="00000000" w:rsidDel="00000000" w:rsidP="00000000" w:rsidRDefault="00000000" w:rsidRPr="00000000" w14:paraId="00000012">
      <w:pPr>
        <w:pageBreakBefore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Writing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make an argument that is logical, well-reasoned, and supported by evidence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write a literary analysis, report, or summary that develops a central idea and a coherent focus and is well supported with relevant examples, facts, and details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conduct several research projects that address different aspects of the same topic, using more complex books, articles, and other sources</w:t>
      </w:r>
    </w:p>
    <w:p w:rsidR="00000000" w:rsidDel="00000000" w:rsidP="00000000" w:rsidRDefault="00000000" w:rsidRPr="00000000" w14:paraId="00000016">
      <w:pPr>
        <w:pageBreakBefore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Speaking and Listening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respond thoughtfully to diverse perspectives; synthesizing comments, claims, and evidence made on all sides of an issue; and resolving contradictions when possible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share research, findings, and evidence clearly and concisely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make strategic use of digital media (e.g., animations, video, websites, podcasts) to enhance understanding of findings and to add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Scale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Assessment- 40%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Participation- 10%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In-class work- 30%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Projects/Quizzes-10%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Major Written Assignments- 10%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 At A Glance E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ng II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(subject to change!!!)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Quarter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Power of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Quarter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Moving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Quarter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Persistence of Memories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Quarter 4: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Ties that Bind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114300" distT="114300" distL="114300" distR="114300">
            <wp:extent cx="1709738" cy="17097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1709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drawing>
        <wp:inline distB="0" distT="0" distL="0" distR="0">
          <wp:extent cx="1014413" cy="10144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5807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C0EF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3E58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dison.tolliver@slps.org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N0ZPzjXTj3it6twtFrZ/7muKA==">CgMxLjA4AHIhMXhkQVhUY1BSTERPS3ZQRDU0UTBPLVlvdW1IY2Rkd004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2020-08-21T12:54:00Z</dcterms:created>
  <dc:creator>Tolliver, Madison D.</dc:creator>
</cp:coreProperties>
</file>