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08597B" w:rsidTr="00C018F9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08597B" w:rsidRDefault="0008597B" w:rsidP="00C018F9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08597B" w:rsidTr="00C018F9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08597B" w:rsidRDefault="0008597B" w:rsidP="00C018F9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08597B" w:rsidRPr="003E0757" w:rsidRDefault="0008597B" w:rsidP="00C018F9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08597B" w:rsidRDefault="0008597B" w:rsidP="00C018F9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3A4AE9" w:rsidTr="00C018F9">
        <w:trPr>
          <w:trHeight w:val="460"/>
          <w:jc w:val="center"/>
        </w:trPr>
        <w:tc>
          <w:tcPr>
            <w:tcW w:w="1330" w:type="dxa"/>
          </w:tcPr>
          <w:p w:rsidR="003A4AE9" w:rsidRDefault="003A4AE9" w:rsidP="003A4AE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05/24/21</w:t>
            </w:r>
          </w:p>
          <w:p w:rsidR="003A4AE9" w:rsidRDefault="003A4AE9" w:rsidP="003A4AE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3A4AE9" w:rsidRDefault="003A4AE9" w:rsidP="003A4AE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05/25/21</w:t>
            </w:r>
          </w:p>
          <w:p w:rsidR="003A4AE9" w:rsidRDefault="003A4AE9" w:rsidP="003A4AE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3A4AE9" w:rsidRDefault="003A4AE9" w:rsidP="003A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Australia.</w:t>
            </w:r>
          </w:p>
          <w:p w:rsidR="003A4AE9" w:rsidRDefault="003A4AE9" w:rsidP="003A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last four</w:t>
            </w:r>
            <w:r>
              <w:rPr>
                <w:sz w:val="20"/>
                <w:szCs w:val="20"/>
              </w:rPr>
              <w:t xml:space="preserve"> of the seven territories that make up Australia;</w:t>
            </w:r>
            <w:r>
              <w:rPr>
                <w:sz w:val="20"/>
                <w:szCs w:val="20"/>
              </w:rPr>
              <w:t xml:space="preserve"> Queensland, New South Wales, Victoria/Tasmania and Papua New Guinea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3A4AE9" w:rsidRPr="003C5B48" w:rsidRDefault="003A4AE9" w:rsidP="003A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Australia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3A4AE9" w:rsidRPr="006C3ED5" w:rsidRDefault="003A4AE9" w:rsidP="003A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the challenges faced when living in these </w:t>
            </w:r>
            <w:r>
              <w:rPr>
                <w:sz w:val="20"/>
                <w:szCs w:val="20"/>
              </w:rPr>
              <w:t>four</w:t>
            </w:r>
            <w:r>
              <w:rPr>
                <w:sz w:val="20"/>
                <w:szCs w:val="20"/>
              </w:rPr>
              <w:t xml:space="preserve"> territories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3A4AE9" w:rsidRDefault="003A4AE9" w:rsidP="003A4AE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Queensland, New South Wales, Victoria/Tasmania and Papua New Guinea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3A4AE9" w:rsidRDefault="003A4AE9" w:rsidP="003A4AE9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Powerpoint</w:t>
            </w:r>
            <w:proofErr w:type="spell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Queensland, New South Wales, Victoria/Tasmania and Papua New Guinea it’s wildlife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them.</w:t>
            </w:r>
          </w:p>
          <w:p w:rsidR="003A4AE9" w:rsidRPr="006C3ED5" w:rsidRDefault="003A4AE9" w:rsidP="003A4AE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use an interactive PowerPoint/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Queensland, New South Wales, Victoria/Tasmania and Papua New Guinea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3A4AE9" w:rsidRDefault="003A4AE9" w:rsidP="003A4AE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Queensland, New South Wales, Victoria/Tasmania and Papua New Guinea</w:t>
            </w:r>
            <w:r>
              <w:rPr>
                <w:sz w:val="20"/>
                <w:szCs w:val="20"/>
              </w:rPr>
              <w:t>.</w:t>
            </w:r>
          </w:p>
          <w:p w:rsidR="003A4AE9" w:rsidRDefault="003A4AE9" w:rsidP="003A4AE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3A4AE9" w:rsidRPr="006C3ED5" w:rsidRDefault="003A4AE9" w:rsidP="003A4AE9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answer questions about Queensland, New South Wales, Victoria/Tasmania and Papua New Guinea; it’s wildlife, the people that live there, their culture and environment.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3A4AE9" w:rsidRPr="00CB3E5F" w:rsidRDefault="003A4AE9" w:rsidP="003A4AE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Pr="006C3ED5" w:rsidRDefault="003A4AE9" w:rsidP="003A4AE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3A4AE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05/24/2021</w:t>
            </w:r>
          </w:p>
          <w:p w:rsidR="003A4AE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3A4AE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05/25/2021</w:t>
            </w:r>
          </w:p>
          <w:p w:rsidR="003A4AE9" w:rsidRDefault="003A4AE9" w:rsidP="003A4AE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A4AE9" w:rsidTr="00C018F9">
        <w:trPr>
          <w:trHeight w:val="453"/>
          <w:jc w:val="center"/>
        </w:trPr>
        <w:tc>
          <w:tcPr>
            <w:tcW w:w="1330" w:type="dxa"/>
          </w:tcPr>
          <w:p w:rsidR="003A4AE9" w:rsidRDefault="003A4AE9" w:rsidP="003A4AE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3A4AE9" w:rsidRDefault="003A4AE9" w:rsidP="003A4AE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05/26/21</w:t>
            </w:r>
          </w:p>
          <w:p w:rsidR="003A4AE9" w:rsidRDefault="003A4AE9" w:rsidP="003A4AE9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3A4AE9" w:rsidRDefault="003A4AE9" w:rsidP="003A4AE9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27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3A4AE9" w:rsidRPr="006C3ED5" w:rsidRDefault="003A4AE9" w:rsidP="003A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-Make up assignment days.</w:t>
            </w:r>
            <w:r w:rsidRPr="003C5B4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524" w:type="dxa"/>
          </w:tcPr>
          <w:p w:rsidR="003A4AE9" w:rsidRPr="006C3ED5" w:rsidRDefault="003A4AE9" w:rsidP="003A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-Make up assignment days.</w:t>
            </w:r>
            <w:r w:rsidRPr="003C5B4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667" w:type="dxa"/>
          </w:tcPr>
          <w:p w:rsidR="003A4AE9" w:rsidRPr="006C3ED5" w:rsidRDefault="003A4AE9" w:rsidP="003A4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-Make up assignmen</w:t>
            </w:r>
            <w:bookmarkStart w:id="0" w:name="_GoBack"/>
            <w:bookmarkEnd w:id="0"/>
            <w:r>
              <w:rPr>
                <w:sz w:val="20"/>
                <w:szCs w:val="20"/>
              </w:rPr>
              <w:t>t days.</w:t>
            </w:r>
            <w:r w:rsidRPr="003C5B48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633" w:type="dxa"/>
          </w:tcPr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3A4AE9" w:rsidRPr="00CB3E5F" w:rsidRDefault="003A4AE9" w:rsidP="003A4AE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Pr="003A4AE9" w:rsidRDefault="003A4AE9" w:rsidP="003A4AE9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Default="003A4AE9" w:rsidP="003A4AE9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Year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3A4AE9" w:rsidRPr="006C3ED5" w:rsidRDefault="003A4AE9" w:rsidP="003A4AE9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3A4AE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05/26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3A4AE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3A4AE9" w:rsidRDefault="003A4AE9" w:rsidP="003A4AE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05/27/2021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3A4AE9" w:rsidTr="00C018F9">
        <w:trPr>
          <w:trHeight w:val="460"/>
          <w:jc w:val="center"/>
        </w:trPr>
        <w:tc>
          <w:tcPr>
            <w:tcW w:w="1330" w:type="dxa"/>
          </w:tcPr>
          <w:p w:rsidR="003A4AE9" w:rsidRDefault="003A4AE9" w:rsidP="003A4AE9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28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3A4AE9" w:rsidRDefault="003A4AE9" w:rsidP="003A4AE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3A4AE9" w:rsidRPr="00C72C9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-LAST DAY OF SCHOOL FOR STUDENTS.</w:t>
            </w:r>
          </w:p>
        </w:tc>
        <w:tc>
          <w:tcPr>
            <w:tcW w:w="3524" w:type="dxa"/>
          </w:tcPr>
          <w:p w:rsidR="003A4AE9" w:rsidRPr="00C72C9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-LAST DAY OF SCHOOL FOR STUDENTS.</w:t>
            </w:r>
          </w:p>
        </w:tc>
        <w:tc>
          <w:tcPr>
            <w:tcW w:w="3667" w:type="dxa"/>
          </w:tcPr>
          <w:p w:rsidR="003A4AE9" w:rsidRPr="00C72C9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-LAST DAY OF SCHOOL FOR STUDENTS.</w:t>
            </w:r>
          </w:p>
        </w:tc>
        <w:tc>
          <w:tcPr>
            <w:tcW w:w="2633" w:type="dxa"/>
          </w:tcPr>
          <w:p w:rsidR="003A4AE9" w:rsidRPr="00C72C99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-LAST DAY OF SCHOOL FOR STUDENTS.</w:t>
            </w:r>
          </w:p>
        </w:tc>
        <w:tc>
          <w:tcPr>
            <w:tcW w:w="843" w:type="dxa"/>
          </w:tcPr>
          <w:p w:rsidR="003A4AE9" w:rsidRPr="00CB3E5F" w:rsidRDefault="003A4AE9" w:rsidP="003A4AE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28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5C6837" w:rsidRDefault="005C6837"/>
    <w:sectPr w:rsidR="005C6837" w:rsidSect="000859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7B"/>
    <w:rsid w:val="0008597B"/>
    <w:rsid w:val="003A4AE9"/>
    <w:rsid w:val="005C6837"/>
    <w:rsid w:val="007A3C7A"/>
    <w:rsid w:val="008D5D75"/>
    <w:rsid w:val="00CC6A56"/>
    <w:rsid w:val="00DC1A38"/>
    <w:rsid w:val="00E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B03B"/>
  <w15:chartTrackingRefBased/>
  <w15:docId w15:val="{1261E33F-296A-4DD1-910D-4B9342BA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597B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8597B"/>
  </w:style>
  <w:style w:type="paragraph" w:customStyle="1" w:styleId="Body">
    <w:name w:val="Body"/>
    <w:rsid w:val="000859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2</cp:revision>
  <dcterms:created xsi:type="dcterms:W3CDTF">2021-05-17T13:08:00Z</dcterms:created>
  <dcterms:modified xsi:type="dcterms:W3CDTF">2021-05-17T13:08:00Z</dcterms:modified>
</cp:coreProperties>
</file>