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36"/>
          <w:szCs w:val="36"/>
        </w:rPr>
      </w:pPr>
      <w:bookmarkStart w:colFirst="0" w:colLast="0" w:name="_w3e8vm1cgye5" w:id="0"/>
      <w:bookmarkEnd w:id="0"/>
      <w:r w:rsidDel="00000000" w:rsidR="00000000" w:rsidRPr="00000000">
        <w:rPr>
          <w:rFonts w:ascii="Times New Roman" w:cs="Times New Roman" w:eastAsia="Times New Roman" w:hAnsi="Times New Roman"/>
          <w:b w:val="1"/>
          <w:sz w:val="36"/>
          <w:szCs w:val="36"/>
        </w:rPr>
        <w:drawing>
          <wp:inline distB="114300" distT="114300" distL="114300" distR="114300">
            <wp:extent cx="1190625" cy="5990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0625" cy="5990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pPr>
      <w:bookmarkStart w:colFirst="0" w:colLast="0" w:name="_cdtues4bzjbr" w:id="1"/>
      <w:bookmarkEnd w:id="1"/>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73763"/>
          <w:sz w:val="36"/>
          <w:szCs w:val="36"/>
        </w:rPr>
      </w:pPr>
      <w:r w:rsidDel="00000000" w:rsidR="00000000" w:rsidRPr="00000000">
        <w:rPr>
          <w:rFonts w:ascii="Times New Roman" w:cs="Times New Roman" w:eastAsia="Times New Roman" w:hAnsi="Times New Roman"/>
          <w:b w:val="1"/>
          <w:color w:val="073763"/>
          <w:sz w:val="36"/>
          <w:szCs w:val="36"/>
          <w:rtl w:val="0"/>
        </w:rPr>
        <w:t xml:space="preserve">Política de participación de padres, tutores y familias de la escuela 2025-2026 </w:t>
      </w:r>
    </w:p>
    <w:p w:rsidR="00000000" w:rsidDel="00000000" w:rsidP="00000000" w:rsidRDefault="00000000" w:rsidRPr="00000000" w14:paraId="00000004">
      <w:pPr>
        <w:spacing w:after="0" w:line="240" w:lineRule="auto"/>
        <w:jc w:val="center"/>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sz w:val="36"/>
          <w:szCs w:val="36"/>
          <w:rtl w:val="0"/>
        </w:rPr>
        <w:t xml:space="preserve">North Mecklenburg High School</w:t>
      </w:r>
      <w:r w:rsidDel="00000000" w:rsidR="00000000" w:rsidRPr="00000000">
        <w:rPr>
          <w:rFonts w:ascii="Times New Roman" w:cs="Times New Roman" w:eastAsia="Times New Roman" w:hAnsi="Times New Roman"/>
          <w:color w:val="073763"/>
          <w:rtl w:val="0"/>
        </w:rPr>
        <w:br w:type="textWrapping"/>
      </w:r>
    </w:p>
    <w:p w:rsidR="00000000" w:rsidDel="00000000" w:rsidP="00000000" w:rsidRDefault="00000000" w:rsidRPr="00000000" w14:paraId="00000006">
      <w:pPr>
        <w:spacing w:after="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  Política de participación de padres y familias</w:t>
      </w:r>
    </w:p>
    <w:p w:rsidR="00000000" w:rsidDel="00000000" w:rsidP="00000000" w:rsidRDefault="00000000" w:rsidRPr="00000000" w14:paraId="00000007">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08">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Las siguientes personas participaron en el desarrollo de la política: Dra. Stephanie Hood (Directora), Keith Andrews (Subdirector), Vania Littlejohn (Subdirectora), Jazzmin Oates (Subdirectora), Jasmine Williams (Subdirectora), miembros del Equipo de Mejora Escolar (EME) (profesores y padres) y la PTSA.</w:t>
      </w:r>
    </w:p>
    <w:p w:rsidR="00000000" w:rsidDel="00000000" w:rsidP="00000000" w:rsidRDefault="00000000" w:rsidRPr="00000000" w14:paraId="00000009">
      <w:pPr>
        <w:spacing w:after="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0A">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Trabajamos con la administración escolar, el EME, el Defensor Familiar y la PTSA para crear nuestra Política de Participación Familiar. Esta política se implementará, revisará y modificará según las necesidades y los comentarios de las partes interesadas. Se revisará en las reuniones mensuales del EME y, según sea necesario, en las reuniones administrativas.</w:t>
      </w:r>
    </w:p>
    <w:p w:rsidR="00000000" w:rsidDel="00000000" w:rsidP="00000000" w:rsidRDefault="00000000" w:rsidRPr="00000000" w14:paraId="0000000B">
      <w:pPr>
        <w:spacing w:after="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II.   Reunión informativa anual</w:t>
      </w:r>
    </w:p>
    <w:p w:rsidR="00000000" w:rsidDel="00000000" w:rsidP="00000000" w:rsidRDefault="00000000" w:rsidRPr="00000000" w14:paraId="0000000E">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0F">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Los padres recibirán información inicial sobre el Título I el 1 de octubre de 2025 a través de Parent Square. Celebraremos nuestra Noche Curricular anual el 14 de octubre de 2025. En esta reunión, se les informará sobre el Título I Parte A y lo que significa para nuestra comunidad escolar. Habrá intérpretes en el personal y los maestros tendrán presentaciones traducidas a los idiomas de los estudiantes a los que atienden.</w:t>
      </w:r>
    </w:p>
    <w:p w:rsidR="00000000" w:rsidDel="00000000" w:rsidP="00000000" w:rsidRDefault="00000000" w:rsidRPr="00000000" w14:paraId="00000010">
      <w:pPr>
        <w:spacing w:after="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III.   Horarios de reunión flexibles</w:t>
      </w:r>
    </w:p>
    <w:p w:rsidR="00000000" w:rsidDel="00000000" w:rsidP="00000000" w:rsidRDefault="00000000" w:rsidRPr="00000000" w14:paraId="00000012">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3">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Tenemos reuniones por la tarde para que los padres tengan más oportunidad de estar presentes. También planeamos eventos familiares en diferentes horarios durante el día. Otras oportunidades para la participación de padres y familias incluyen: la Exhibición Vikinga, el Paseo Cultural Vikingo, la Noche de Educación Familiar de NMHS, presentaciones y otros eventos escolares.</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IV.   Planificación del Título I Parte A</w:t>
      </w:r>
    </w:p>
    <w:p w:rsidR="00000000" w:rsidDel="00000000" w:rsidP="00000000" w:rsidRDefault="00000000" w:rsidRPr="00000000" w14:paraId="00000016">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7">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Revisaremos la Política de Participación Familiar del Título I en cada reunión del SIT. Analizaremos los eventos pasados ​​y brindaremos retroalimentación para eventos futuros. También utilizaremos la PTSA para recopilar comentarios y completar encuestas sobre la participación de los padres. Finalmente, utilizaremos los comentarios de los padres/tutores, el personal, los miembros de la comunidad y todas las partes interesadas, junto con diversos datos, para reflexionar sobre nuestro plan de participación familiar y actualizarlo según sea necesario.</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V.   Información y oportunidades para los padres</w:t>
      </w:r>
    </w:p>
    <w:p w:rsidR="00000000" w:rsidDel="00000000" w:rsidP="00000000" w:rsidRDefault="00000000" w:rsidRPr="00000000" w14:paraId="0000001A">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B">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Proporcionaremos a los padres toda la información sobre los programas del Título I a través de ParentSquare (tanto en inglés como en español) y mediante avisos directos a los padres a través de los estudiantes. Los perfiles de rendimiento escolar estarán disponibles en nuestro sitio web a través del Informe de Rendimiento Escolar de Carolina del Norte. Haremos un esfuerzo para que todos los padres sean notificados y se les enseñe cómo usar el portal para padres en Infinite Campus. Esta información está disponible en la oficina de orientación. Todos los resultados de las evaluaciones se compartirán con los padres a través del Portal para Padres de Infinite Campus. La descripción del currículo se puede encontrar en las páginas de Canvas del aula y en los sitios web de los maestros; la traducción está disponible a solicitud. Nos reunimos mensualmente como Equipo de Mejoramiento Escolar para discutir los problemas que puedan estar ocurriendo en la escuela. Las reuniones mensuales del SIT se anuncian a todos los padres de la escuela. Se explica que los padres no necesitan ser oficialmente parte del equipo para asistir a las reuniones para tener la oportunidad de participar en la toma de decisiones, hacer preguntas y brindar retroalimentación para la mejora continua de la escuela. Todas las oportunidades de voluntariado para eventos educativos durante y después de la escuela son comunicadas por nuestro defensor familiar.</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VI.   Pacto Escuela-Familia</w:t>
      </w:r>
    </w:p>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El convenio entre la escuela y los padres se envió a casa con los estudiantes y se devolvió con las firmas de los padres. Este convenio se proporcionó en varios idiomas. También se entregan copias a los nuevos estudiantes al matricularse.</w:t>
      </w:r>
    </w:p>
    <w:p w:rsidR="00000000" w:rsidDel="00000000" w:rsidP="00000000" w:rsidRDefault="00000000" w:rsidRPr="00000000" w14:paraId="00000020">
      <w:pPr>
        <w:spacing w:after="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VII.   Fomento de la capacidad de participación de padres y familias</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La Escuela Preparatoria North Mecklenburg brinda asistencia a los padres para comprender el progreso de sus hijos mediante reuniones de padres, conferencias de padres y actualizaciones de calificaciones en PowerSchool. El programa de estudios, las expectativas y los planes de calificación se distribuyen a estudiantes y padres al inicio del curso a través de Parent Square, copias impresas, Canvas o los sitios web de los docentes. Los padres también pueden solicitar la información a los docentes en cualquier momento y ellos se la proporcionarán. A través del Departamento de Servicios Estudiantiles, los padres reciben información sobre recursos para ayudar a sus hijos con deficiencias educativas y planes futuros. El Departamento de Servicios Estudiantiles organiza reuniones informativas familiares virtuales y presenciales para fomentar la participación. Organizaremos la Noche de Currículo, la Exhibición Vikinga, el Paseo Cultural Vikingo y la Noche de Educación Familiar de NMHS para involucrar a los padres y familias de la escuela. En estos eventos, se compartirá información significativa para las familias y los estudiantes. Los docentes y el personal también organizan reuniones de currículo para proporcionar a las familias recursos educativos. Los docentes reciben consejos y recursos de comunicación con los padres durante las sesiones de desarrollo profesional (libro de calificaciones, ParentSquare, etc.), las reuniones de la Comunidad de Aprendizaje Profesional (PLC) y las reuniones de departamento. Toda la comunicación enviada a casa a través de ParentSquare se realiza en el idioma materno del estudiante. Los docentes y el personal también utilizan nuestros servicios de traducción escolares y distritales para conferencias, folletos, carteles, etc.</w:t>
      </w:r>
      <w:r w:rsidDel="00000000" w:rsidR="00000000" w:rsidRPr="00000000">
        <w:rPr>
          <w:rtl w:val="0"/>
        </w:rPr>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VIII.   Estudiantes de inglés y padres y familias con discapacidades</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7">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Hemos impartido y seguiremos impartiendo programas centrados en nuestros estudiantes multilingües y sus padres. Contamos con cuatro profesores multilingües de tiempo completo y un defensor familiar bilingüe. Esto seguirá siendo un objetivo central de nuestra escuela. También realizaremos formación continua para docentes sobre cómo comunicarse con los padres y cómo organizar una reunión de padres y maestros eficaz. Todos los talleres centrados en los padres contarán con intérpretes para facilitar la comunicación con los padres que no hablan inglés.</w:t>
      </w:r>
    </w:p>
    <w:p w:rsidR="00000000" w:rsidDel="00000000" w:rsidP="00000000" w:rsidRDefault="00000000" w:rsidRPr="00000000" w14:paraId="00000028">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IX.   Solicitudes de padres y familiares</w:t>
      </w:r>
      <w:r w:rsidDel="00000000" w:rsidR="00000000" w:rsidRPr="00000000">
        <w:rPr>
          <w:rtl w:val="0"/>
        </w:rPr>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B">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Todas las actividades solicitadas por los padres y las familias se discutirán durante las reuniones de SIT y PTSA y los comentarios de la discusión se presentarán al equipo administrativo para su aprobación.</w:t>
      </w:r>
    </w:p>
    <w:p w:rsidR="00000000" w:rsidDel="00000000" w:rsidP="00000000" w:rsidRDefault="00000000" w:rsidRPr="00000000" w14:paraId="0000002C">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X.   Evaluación anual</w:t>
      </w:r>
      <w:r w:rsidDel="00000000" w:rsidR="00000000" w:rsidRPr="00000000">
        <w:rPr>
          <w:rtl w:val="0"/>
        </w:rPr>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F">
      <w:pPr>
        <w:spacing w:after="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Al inicio del año escolar, al final del primer semestre y al final del año escolar, el SIT y la PTSA proporcionarán comentarios sobre la Política de Participación de Padres y Familias de la Escuela Secundaria Título I de North Mecklenburg. Se actualizarán según los comentarios.</w:t>
      </w:r>
    </w:p>
    <w:p w:rsidR="00000000" w:rsidDel="00000000" w:rsidP="00000000" w:rsidRDefault="00000000" w:rsidRPr="00000000" w14:paraId="00000030">
      <w:pPr>
        <w:spacing w:after="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sectPr>
      <w:headerReference r:id="rId7" w:type="default"/>
      <w:pgSz w:h="15840" w:w="12240" w:orient="portrait"/>
      <w:pgMar w:bottom="720" w:top="45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