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1271796" cy="12658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1796" cy="1265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Dear Parent or Guardian: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Villa Heights Elementary School has been authorized by the North Carolina Department of Instruction and Charlotte-Mecklenburg Schools to operate a Title I Schoolwide Program. As a result, schools receive resources from the state and federal governments that enable us to upgrade the entire educational program in order to help all students meet state standards. A comprehensive needs assessment and an analysis of the student achievement data were conducted to develop a School Improvement Plan. This was completed through the collaborative efforts of staff and parents. The schoolwide program includes strategies to raise the academic achievement of all students.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The following services are available from the school’s Title I site-based resources to assist your child: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● paraprofessionals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● teacher professional development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● additional support staff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● computers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● parental involvement activities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Please attend the Annual Title I Meeting to be held with Curriculum Night on 9/18/25 to learn more about the school’s programs: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Location: Villa Heights Elementary School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Time: 5:00-5:30 PM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If you are unable to attend the Annual Title I meeting or if there are questions or concerns regarding our school’s academic program please contact the school office at 980-343-3666. Slides and resources will be provided through Parent Square and our school’s website.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