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Waverly Yowell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3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vertAlign w:val="superscript"/>
          <w:rtl w:val="0"/>
        </w:rPr>
        <w:t xml:space="preserve">rd 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Grade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omic Sans MS" w:cs="Comic Sans MS" w:eastAsia="Comic Sans MS" w:hAnsi="Comic Sans MS"/>
          <w:b w:val="1"/>
          <w:sz w:val="18"/>
          <w:szCs w:val="18"/>
        </w:rPr>
      </w:pPr>
      <w:bookmarkStart w:colFirst="0" w:colLast="0" w:name="_n3pcxtviqda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1333500" cy="10509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50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34"/>
          <w:szCs w:val="34"/>
          <w:u w:val="single"/>
          <w:rtl w:val="0"/>
        </w:rPr>
        <w:t xml:space="preserve">Please</w:t>
      </w: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u w:val="single"/>
          <w:rtl w:val="0"/>
        </w:rPr>
        <w:t xml:space="preserve"> provide the following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1440" w:hanging="540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inch 3-ring binder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plastic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three-hole-punched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pocket folders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3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composition notebooks (Preferably three different colors)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1440" w:hanging="540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Pencil pouch/ pencil box (Medium or large size)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Scissors (Student sized)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pack of 4 count - 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u w:val="single"/>
          <w:rtl w:val="0"/>
        </w:rPr>
        <w:t xml:space="preserve">Black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Low Odor EXPO Markers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bottle white liquid glue (Elmer’s preferred)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4 glue sticks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At least 50 # 2 pencils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box of crayons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pack of colored pencils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 pack of markers – 8 or 10 count of large markers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3-4 large boxes of tissues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88" w:firstLine="576.0000000000001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2 Clorox / Disinfecting Wipes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34"/>
          <w:szCs w:val="34"/>
          <w:u w:val="single"/>
          <w:rtl w:val="0"/>
        </w:rPr>
        <w:t xml:space="preserve">Optional (Needed in our classroom but not required):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Bottles of hand sanitizer 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Hand soap (pump bottle)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288" w:firstLine="576.000000000000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</w:t>
      </w: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aper towels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44.8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" w:firstLine="57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after="0" w:before="0" w:line="240" w:lineRule="auto"/>
    </w:pPr>
    <w:rPr>
      <w:rFonts w:ascii="Verdana" w:cs="Verdana" w:eastAsia="Verdana" w:hAnsi="Verdana"/>
      <w:b w:val="0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after="0" w:before="0" w:line="240" w:lineRule="auto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pacing w:after="60" w:before="240" w:lin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spacing w:after="60" w:before="240" w:line="240" w:lineRule="auto"/>
    </w:pPr>
    <w:rPr>
      <w:rFonts w:ascii="Tahoma" w:cs="Tahoma" w:eastAsia="Tahoma" w:hAnsi="Tahoma"/>
      <w:b w:val="1"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spacing w:after="60" w:before="240" w:line="240" w:lineRule="auto"/>
    </w:pPr>
    <w:rPr>
      <w:rFonts w:ascii="Tahoma" w:cs="Tahoma" w:eastAsia="Tahoma" w:hAnsi="Tahoma"/>
      <w:b w:val="1"/>
      <w:i w:val="1"/>
      <w:color w:val="00000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spacing w:after="60" w:before="240" w:line="240" w:lineRule="auto"/>
    </w:pPr>
    <w:rPr>
      <w:rFonts w:ascii="Tahoma" w:cs="Tahoma" w:eastAsia="Tahoma" w:hAnsi="Tahoma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spacing w:after="120" w:before="480" w:line="240" w:lineRule="auto"/>
    </w:pPr>
    <w:rPr>
      <w:rFonts w:ascii="Tahoma" w:cs="Tahoma" w:eastAsia="Tahoma" w:hAnsi="Tahoma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spacing w:after="80" w:before="360" w:line="24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