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B881" w14:textId="18F8D69C" w:rsidR="16002081" w:rsidRDefault="005528CC" w:rsidP="005528CC">
      <w:pPr>
        <w:pStyle w:val="NoSpacing"/>
        <w:jc w:val="center"/>
      </w:pPr>
      <w:r>
        <w:rPr>
          <w:noProof/>
        </w:rPr>
        <w:drawing>
          <wp:inline distT="0" distB="0" distL="0" distR="0" wp14:anchorId="6A771574" wp14:editId="757EE1EC">
            <wp:extent cx="3438525" cy="2552844"/>
            <wp:effectExtent l="0" t="0" r="0" b="0"/>
            <wp:docPr id="1871529067" name="Picture 2" descr="Construyendo mejores programas: ejemplos de planes de participación familiar que impulsan la satisfacción de los participantes y la 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ing Better Programs: Family Engagement Plan Examples That Drive  Participant and Family Satisfa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6701" cy="2558914"/>
                    </a:xfrm>
                    <a:prstGeom prst="rect">
                      <a:avLst/>
                    </a:prstGeom>
                    <a:noFill/>
                    <a:ln>
                      <a:noFill/>
                    </a:ln>
                  </pic:spPr>
                </pic:pic>
              </a:graphicData>
            </a:graphic>
          </wp:inline>
        </w:drawing>
      </w:r>
    </w:p>
    <w:p w14:paraId="6CDF363D" w14:textId="3E8CAB50" w:rsidR="00766E44" w:rsidRPr="00CF5340" w:rsidRDefault="00CB56F6" w:rsidP="00CB56F6">
      <w:pPr>
        <w:jc w:val="center"/>
        <w:rPr>
          <w:b/>
          <w:bCs/>
          <w:sz w:val="24"/>
          <w:szCs w:val="24"/>
        </w:rPr>
      </w:pPr>
      <w:r w:rsidRPr="749D4A19">
        <w:rPr>
          <w:b/>
          <w:bCs/>
          <w:sz w:val="24"/>
          <w:szCs w:val="24"/>
        </w:rPr>
        <w:t>Plan de participación de padres y familias de Título I 2025-2026</w:t>
      </w:r>
    </w:p>
    <w:p w14:paraId="49F52694" w14:textId="7B7F9864" w:rsidR="003E4F37" w:rsidRPr="00CF5340" w:rsidRDefault="00CB56F6" w:rsidP="00CB56F6">
      <w:pPr>
        <w:jc w:val="center"/>
        <w:rPr>
          <w:b/>
          <w:bCs/>
          <w:sz w:val="24"/>
          <w:szCs w:val="24"/>
        </w:rPr>
      </w:pPr>
      <w:r w:rsidRPr="00CF5340">
        <w:rPr>
          <w:b/>
          <w:bCs/>
          <w:sz w:val="24"/>
          <w:szCs w:val="24"/>
        </w:rPr>
        <w:t>Nombre de la escuela: Escuela Primaria Azalea</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65AAE" w:rsidRDefault="003960F3" w:rsidP="00A30EA8">
            <w:pPr>
              <w:jc w:val="center"/>
              <w:rPr>
                <w:b/>
                <w:bCs/>
                <w:sz w:val="24"/>
                <w:szCs w:val="24"/>
                <w:u w:val="single"/>
              </w:rPr>
            </w:pPr>
            <w:r w:rsidRPr="00265AAE">
              <w:rPr>
                <w:b/>
                <w:bCs/>
                <w:sz w:val="24"/>
                <w:szCs w:val="24"/>
                <w:u w:val="single"/>
              </w:rPr>
              <w:t>Utilice los datos de la evaluación integral de necesidades y cualquier otro dato de participación familiar para completar lo siguiente:</w:t>
            </w:r>
          </w:p>
          <w:p w14:paraId="1EEF7471" w14:textId="77777777" w:rsidR="003960F3" w:rsidRDefault="003960F3" w:rsidP="00294372">
            <w:pPr>
              <w:rPr>
                <w:sz w:val="24"/>
                <w:szCs w:val="24"/>
              </w:rPr>
            </w:pPr>
          </w:p>
          <w:p w14:paraId="48A5DD76" w14:textId="69062C83" w:rsidR="00294372" w:rsidRDefault="003E4F37" w:rsidP="00294372">
            <w:pPr>
              <w:rPr>
                <w:sz w:val="24"/>
                <w:szCs w:val="24"/>
              </w:rPr>
            </w:pPr>
            <w:r>
              <w:rPr>
                <w:sz w:val="24"/>
                <w:szCs w:val="24"/>
              </w:rPr>
              <w:t>Declaración de la misión de la escuela:</w:t>
            </w:r>
            <w:r w:rsidR="008D54E5">
              <w:rPr>
                <w:rFonts w:ascii="Source Sans Pro" w:hAnsi="Source Sans Pro"/>
                <w:color w:val="2A2B2C"/>
                <w:shd w:val="clear" w:color="auto" w:fill="FFFFFF"/>
              </w:rPr>
              <w:t xml:space="preserve"> Asistencia + Actitud + Académicos = Excelencia y empoderamiento para la universidad, la carrera y la vida</w:t>
            </w:r>
          </w:p>
          <w:p w14:paraId="0205639D" w14:textId="77777777" w:rsidR="008D54E5" w:rsidRDefault="00294372" w:rsidP="008D54E5">
            <w:pPr>
              <w:rPr>
                <w:sz w:val="24"/>
                <w:szCs w:val="24"/>
              </w:rPr>
            </w:pPr>
            <w:r>
              <w:rPr>
                <w:sz w:val="24"/>
                <w:szCs w:val="24"/>
              </w:rPr>
              <w:t xml:space="preserve">Resultados medibles: </w:t>
            </w:r>
          </w:p>
          <w:p w14:paraId="45D899DE" w14:textId="5706A5AB" w:rsidR="008D54E5" w:rsidRPr="008D54E5" w:rsidRDefault="008D54E5" w:rsidP="008D54E5">
            <w:pPr>
              <w:rPr>
                <w:sz w:val="24"/>
                <w:szCs w:val="24"/>
              </w:rPr>
            </w:pPr>
            <w:r w:rsidRPr="008D54E5">
              <w:rPr>
                <w:sz w:val="24"/>
                <w:szCs w:val="24"/>
              </w:rPr>
              <w:t>El porcentaje de todos los estudiantes competentes en el Monitoreo del Progreso de ELA 3 aumentará del 65% al 72% según las evaluaciones estatales.</w:t>
            </w:r>
          </w:p>
          <w:p w14:paraId="5E0F6738" w14:textId="77C37325" w:rsidR="00294372" w:rsidRDefault="008D54E5" w:rsidP="008D54E5">
            <w:pPr>
              <w:rPr>
                <w:sz w:val="24"/>
                <w:szCs w:val="24"/>
              </w:rPr>
            </w:pPr>
            <w:r w:rsidRPr="008D54E5">
              <w:rPr>
                <w:sz w:val="24"/>
                <w:szCs w:val="24"/>
              </w:rPr>
              <w:t>El porcentaje de todos los estudiantes competentes en el Monitoreo del Progreso de Matemáticas 3 aumentará del 67% al 74% según lo medido por las evaluaciones estatales.</w:t>
            </w:r>
          </w:p>
          <w:p w14:paraId="13AF7EA1" w14:textId="6D44C00A" w:rsidR="003E4F37" w:rsidRDefault="003E4F37" w:rsidP="003960F3">
            <w:pPr>
              <w:rPr>
                <w:b/>
                <w:bCs/>
                <w:sz w:val="24"/>
                <w:szCs w:val="24"/>
              </w:rPr>
            </w:pP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7EBB3D44">
        <w:tc>
          <w:tcPr>
            <w:tcW w:w="14390" w:type="dxa"/>
          </w:tcPr>
          <w:p w14:paraId="60A29B90" w14:textId="0A747B0C" w:rsidR="003E4F37" w:rsidRDefault="003E4F37" w:rsidP="00855902">
            <w:pPr>
              <w:rPr>
                <w:b/>
                <w:bCs/>
                <w:sz w:val="28"/>
                <w:szCs w:val="28"/>
              </w:rPr>
            </w:pPr>
            <w:r>
              <w:rPr>
                <w:b/>
                <w:bCs/>
                <w:sz w:val="28"/>
                <w:szCs w:val="28"/>
              </w:rPr>
              <w:t>Desarrollar la capacidad de las familias</w:t>
            </w:r>
          </w:p>
        </w:tc>
      </w:tr>
      <w:tr w:rsidR="001E28F4" w14:paraId="53C8CEAB" w14:textId="77777777" w:rsidTr="7EBB3D44">
        <w:tc>
          <w:tcPr>
            <w:tcW w:w="14390" w:type="dxa"/>
          </w:tcPr>
          <w:p w14:paraId="5A362F48" w14:textId="1DC04C5F" w:rsidR="001E28F4" w:rsidRDefault="001E28F4" w:rsidP="001E28F4">
            <w:pPr>
              <w:rPr>
                <w:sz w:val="24"/>
                <w:szCs w:val="24"/>
              </w:rPr>
            </w:pPr>
            <w:r w:rsidRPr="000F5584">
              <w:rPr>
                <w:sz w:val="24"/>
                <w:szCs w:val="24"/>
              </w:rPr>
              <w:t>La administración revisa todos los resultados y comentarios de las encuestas de las partes interesadas. La administración facilita la discusión con comentarios pertinentes con el personal para abordar las fortalezas, las áreas de crecimiento y las áreas donde hay contradicciones en los puntos de vista del personal, los estudiantes y las familias de otras partes interesadas. Esto permite discusiones específicas y planificación de acciones. Además, el director comparte esta información del Comité Asesor Escolar (SAC) junto con los comentarios del SAC en general para impulsar el cambio escolar. Algunos ejemplos de esto son más clubes de enriquecimiento que se ofrecen a todos los estudiantes y formas de informar a los padres sobre las opciones de la escuela intermedia para educar y retener a las familias.</w:t>
            </w:r>
          </w:p>
          <w:p w14:paraId="6BC0C2E8" w14:textId="77777777" w:rsidR="001E28F4" w:rsidRDefault="001E28F4" w:rsidP="001E28F4">
            <w:pPr>
              <w:rPr>
                <w:sz w:val="24"/>
                <w:szCs w:val="24"/>
              </w:rPr>
            </w:pPr>
          </w:p>
          <w:p w14:paraId="5D0231BF" w14:textId="77777777" w:rsidR="001E28F4" w:rsidRDefault="001E28F4" w:rsidP="001E28F4">
            <w:pPr>
              <w:rPr>
                <w:sz w:val="24"/>
                <w:szCs w:val="24"/>
              </w:rPr>
            </w:pPr>
          </w:p>
          <w:p w14:paraId="383B42C8" w14:textId="77777777" w:rsidR="001E28F4" w:rsidRDefault="001E28F4" w:rsidP="001E28F4">
            <w:pPr>
              <w:rPr>
                <w:sz w:val="24"/>
                <w:szCs w:val="24"/>
              </w:rPr>
            </w:pPr>
          </w:p>
          <w:p w14:paraId="547DB6B1" w14:textId="3093F4DA" w:rsidR="001E28F4" w:rsidRDefault="001E28F4" w:rsidP="001E28F4">
            <w:pPr>
              <w:rPr>
                <w:sz w:val="24"/>
                <w:szCs w:val="24"/>
              </w:rPr>
            </w:pPr>
            <w:r w:rsidRPr="005C631D">
              <w:rPr>
                <w:sz w:val="24"/>
                <w:szCs w:val="24"/>
              </w:rPr>
              <w:t>La necesidad de que los eventos no solo aborden académicos más grandes, como una Noche STREAM que aborde temas generales de STREAM, sino que también vinculen partes intencionales del evento específicas al trabajo de la escuela para aumentar el rendimiento de los estudiantes, específicamente en Matemáticas. Esto educará a las familias para que ayuden en el trabajo intencional que se realiza a nivel escolar para que puedan implementar habilidades y estrategias específicas en el hogar.</w:t>
            </w:r>
          </w:p>
          <w:p w14:paraId="75D67B70" w14:textId="77777777" w:rsidR="001E28F4" w:rsidRDefault="001E28F4" w:rsidP="001E28F4">
            <w:pPr>
              <w:rPr>
                <w:sz w:val="24"/>
                <w:szCs w:val="24"/>
              </w:rPr>
            </w:pPr>
          </w:p>
          <w:p w14:paraId="404A8168" w14:textId="77777777" w:rsidR="001E28F4" w:rsidRDefault="001E28F4" w:rsidP="001E28F4">
            <w:pPr>
              <w:rPr>
                <w:sz w:val="24"/>
                <w:szCs w:val="24"/>
              </w:rPr>
            </w:pPr>
            <w:r w:rsidRPr="005F4579">
              <w:rPr>
                <w:sz w:val="24"/>
                <w:szCs w:val="24"/>
              </w:rPr>
              <w:t>Comunicación continua con las familias con respecto a las metas académicas de la escuela, el progreso y los planes de acción continuos con todas las familias. Combine la comunicación con mayores oportunidades para que los padres participen en los planes de acción desde su lente en casa. Por ejemplo, las familias que trabajan con sus hijos en la fluidez adicional y estrategias específicas, realizan un seguimiento de lo que han hecho y lo envían al maestro en un horario quincenal o mensual para que se pueda monitorear su impacto.</w:t>
            </w:r>
          </w:p>
          <w:p w14:paraId="251FE60A" w14:textId="3441133E" w:rsidR="001E28F4" w:rsidRPr="002861E0" w:rsidRDefault="001E28F4" w:rsidP="001E28F4">
            <w:pPr>
              <w:rPr>
                <w:b/>
                <w:bCs/>
                <w:sz w:val="24"/>
                <w:szCs w:val="24"/>
              </w:rPr>
            </w:pPr>
          </w:p>
        </w:tc>
      </w:tr>
      <w:tr w:rsidR="001E28F4" w14:paraId="359D9EBD" w14:textId="77777777" w:rsidTr="7EBB3D44">
        <w:tc>
          <w:tcPr>
            <w:tcW w:w="14390" w:type="dxa"/>
          </w:tcPr>
          <w:p w14:paraId="6AD11EF9" w14:textId="7B60CDC5" w:rsidR="001E28F4" w:rsidRDefault="001E28F4" w:rsidP="001E28F4">
            <w:pPr>
              <w:rPr>
                <w:sz w:val="24"/>
                <w:szCs w:val="24"/>
              </w:rPr>
            </w:pPr>
            <w:r w:rsidRPr="7EBB3D44">
              <w:rPr>
                <w:rFonts w:ascii="Segoe UI" w:hAnsi="Segoe UI" w:cs="Segoe UI"/>
                <w:sz w:val="24"/>
                <w:szCs w:val="24"/>
              </w:rPr>
              <w:lastRenderedPageBreak/>
              <w:t xml:space="preserve">Con base en los datos de la Evaluación Integral de Necesidades, complete la Hoja de Planificación de Participación </w:t>
            </w:r>
            <w:hyperlink r:id="rId9">
              <w:r w:rsidRPr="7EBB3D44">
                <w:rPr>
                  <w:rStyle w:val="Hyperlink"/>
                  <w:sz w:val="26"/>
                  <w:szCs w:val="26"/>
                </w:rPr>
                <w:t>Familiar</w:t>
              </w:r>
            </w:hyperlink>
          </w:p>
          <w:p w14:paraId="0695A312" w14:textId="0788FC90" w:rsidR="001E28F4" w:rsidRPr="00D464AA" w:rsidRDefault="001E28F4" w:rsidP="001E28F4">
            <w:pPr>
              <w:rPr>
                <w:rFonts w:ascii="Segoe UI" w:hAnsi="Segoe UI" w:cs="Segoe UI"/>
                <w:sz w:val="24"/>
                <w:szCs w:val="24"/>
              </w:rPr>
            </w:pPr>
            <w:r w:rsidRPr="004902EC">
              <w:rPr>
                <w:rFonts w:ascii="Segoe UI" w:hAnsi="Segoe UI" w:cs="Segoe UI"/>
                <w:sz w:val="24"/>
                <w:szCs w:val="24"/>
              </w:rPr>
              <w:t>para un próximo evento que estará directamente relacionado con los resultados medibles anteriores.</w:t>
            </w:r>
          </w:p>
        </w:tc>
      </w:tr>
      <w:tr w:rsidR="001E28F4" w14:paraId="484E2EB8" w14:textId="77777777" w:rsidTr="7EBB3D44">
        <w:tc>
          <w:tcPr>
            <w:tcW w:w="14390" w:type="dxa"/>
          </w:tcPr>
          <w:p w14:paraId="5D20A45B" w14:textId="77777777" w:rsidR="001E28F4" w:rsidRDefault="001E28F4" w:rsidP="001E28F4">
            <w:pPr>
              <w:rPr>
                <w:b/>
                <w:bCs/>
                <w:sz w:val="28"/>
                <w:szCs w:val="28"/>
              </w:rPr>
            </w:pPr>
          </w:p>
        </w:tc>
      </w:tr>
      <w:tr w:rsidR="001E28F4" w14:paraId="7D3557BE" w14:textId="77777777" w:rsidTr="7EBB3D44">
        <w:tc>
          <w:tcPr>
            <w:tcW w:w="14390" w:type="dxa"/>
          </w:tcPr>
          <w:p w14:paraId="704AB602" w14:textId="3950DD0E" w:rsidR="001E28F4" w:rsidRDefault="001E28F4" w:rsidP="001E28F4">
            <w:pPr>
              <w:rPr>
                <w:b/>
                <w:bCs/>
                <w:sz w:val="28"/>
                <w:szCs w:val="28"/>
              </w:rPr>
            </w:pPr>
            <w:r>
              <w:rPr>
                <w:b/>
                <w:bCs/>
                <w:sz w:val="28"/>
                <w:szCs w:val="28"/>
              </w:rPr>
              <w:t>Desarrollo profesional del personal relacionado con la participación familiar</w:t>
            </w:r>
          </w:p>
        </w:tc>
      </w:tr>
      <w:tr w:rsidR="001E28F4" w14:paraId="3BE233AD" w14:textId="77777777" w:rsidTr="7EBB3D44">
        <w:tc>
          <w:tcPr>
            <w:tcW w:w="14390" w:type="dxa"/>
          </w:tcPr>
          <w:p w14:paraId="6C5C4308" w14:textId="77777777" w:rsidR="001E28F4" w:rsidRDefault="001E28F4" w:rsidP="001E28F4">
            <w:pPr>
              <w:rPr>
                <w:sz w:val="24"/>
                <w:szCs w:val="24"/>
              </w:rPr>
            </w:pPr>
            <w:r w:rsidRPr="002861E0">
              <w:rPr>
                <w:sz w:val="24"/>
                <w:szCs w:val="24"/>
              </w:rPr>
              <w:t>Describir las actividades de desarrollo profesional que la escuela proporcionará para educar a los maestros, al personal de servicios estudiantiles, a los directores y al resto del personal sobre cómo comunicarse, comunicarse y trabajar con los padres como socios iguales, sobre el valor y la utilidad de las contribuciones de los padres, y sobre cómo implementar y coordinar los programas para padres, y construir lazos entre los padres y las escuelas [Sección 1118 (e) (3)]</w:t>
            </w:r>
          </w:p>
          <w:p w14:paraId="02741F52" w14:textId="4BED5ED7" w:rsidR="001E28F4" w:rsidRPr="002861E0" w:rsidRDefault="001E28F4" w:rsidP="001E28F4">
            <w:pPr>
              <w:rPr>
                <w:b/>
                <w:bCs/>
                <w:sz w:val="24"/>
                <w:szCs w:val="24"/>
              </w:rPr>
            </w:pPr>
          </w:p>
        </w:tc>
      </w:tr>
      <w:tr w:rsidR="003F7E1C" w14:paraId="25B8F55E" w14:textId="77777777" w:rsidTr="7EBB3D44">
        <w:tc>
          <w:tcPr>
            <w:tcW w:w="14390" w:type="dxa"/>
          </w:tcPr>
          <w:p w14:paraId="32BB32B7" w14:textId="57B254A6" w:rsidR="004D069C" w:rsidRDefault="002D45DF" w:rsidP="003F7E1C">
            <w:pPr>
              <w:rPr>
                <w:sz w:val="24"/>
                <w:szCs w:val="24"/>
              </w:rPr>
            </w:pPr>
            <w:r>
              <w:rPr>
                <w:sz w:val="24"/>
                <w:szCs w:val="24"/>
              </w:rPr>
              <w:t>Discusiones y colaboración con el equipo FEAT basado en el sitio para desarrollar planes de acción para mejorar la comunicación y el trabajo con las familias. Además, accederemos a oportunidades de desarrollo profesional y colaboraremos con asociaciones estratégicas y los departamentos de Título I que abordan específicamente la participación familiar.</w:t>
            </w:r>
          </w:p>
          <w:p w14:paraId="48169758" w14:textId="4F7F3E48" w:rsidR="003F7E1C" w:rsidRPr="000447F9" w:rsidRDefault="003F7E1C" w:rsidP="003041E4">
            <w:pPr>
              <w:rPr>
                <w:rFonts w:ascii="Segoe UI" w:hAnsi="Segoe UI" w:cs="Segoe UI"/>
                <w:sz w:val="18"/>
                <w:szCs w:val="18"/>
              </w:rPr>
            </w:pPr>
          </w:p>
        </w:tc>
      </w:tr>
    </w:tbl>
    <w:p w14:paraId="3DF28819" w14:textId="63EB56B5" w:rsidR="00CB56F6" w:rsidRDefault="00CB56F6" w:rsidP="00CF52B8">
      <w:pPr>
        <w:rPr>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01F77A1">
        <w:trPr>
          <w:trHeight w:val="440"/>
        </w:trPr>
        <w:tc>
          <w:tcPr>
            <w:tcW w:w="14616" w:type="dxa"/>
          </w:tcPr>
          <w:p w14:paraId="51DFCA88" w14:textId="779944E3" w:rsidR="00CB56F6" w:rsidRDefault="0038756F" w:rsidP="00CB56F6">
            <w:pPr>
              <w:rPr>
                <w:b/>
                <w:bCs/>
                <w:sz w:val="28"/>
                <w:szCs w:val="28"/>
              </w:rPr>
            </w:pPr>
            <w:r>
              <w:rPr>
                <w:b/>
                <w:bCs/>
                <w:sz w:val="28"/>
                <w:szCs w:val="28"/>
              </w:rPr>
              <w:t>Experiencia en la reunión anual de padres del Título I</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Pr>
                <w:sz w:val="24"/>
                <w:szCs w:val="24"/>
              </w:rPr>
              <w:t xml:space="preserve">Cada escuela convocará una reunión anual diseñada para informar a los padres de los niños participantes sobre el programa de Título I de la escuela, la naturaleza del programa de Título I (asistencia escolar o específica), la elección de escuela, los servicios educativos suplementarios y los derechos de los padres. [Sección 1118 (c) (1)]. </w:t>
            </w:r>
          </w:p>
        </w:tc>
      </w:tr>
      <w:tr w:rsidR="00931AB9" w14:paraId="073665BB" w14:textId="77777777" w:rsidTr="001F77A1">
        <w:tc>
          <w:tcPr>
            <w:tcW w:w="14616" w:type="dxa"/>
          </w:tcPr>
          <w:p w14:paraId="0C057671" w14:textId="65E52E16" w:rsidR="00782418" w:rsidRPr="004902EC" w:rsidRDefault="00782418" w:rsidP="00782418">
            <w:pPr>
              <w:rPr>
                <w:rFonts w:ascii="Segoe UI" w:hAnsi="Segoe UI" w:cs="Segoe UI"/>
                <w:b/>
                <w:bCs/>
                <w:sz w:val="24"/>
                <w:szCs w:val="24"/>
              </w:rPr>
            </w:pPr>
            <w:r w:rsidRPr="004902EC">
              <w:rPr>
                <w:rFonts w:ascii="Segoe UI" w:hAnsi="Segoe UI" w:cs="Segoe UI"/>
                <w:sz w:val="24"/>
                <w:szCs w:val="24"/>
              </w:rPr>
              <w:t>¿Cómo obtendrá comentarios grabados de los padres sobre la reunión? ¿Cómo se utilizará la retroalimentación grabada para informar eventos futuros?</w:t>
            </w:r>
          </w:p>
          <w:p w14:paraId="489D9668" w14:textId="77777777" w:rsidR="00782418" w:rsidRDefault="00782418" w:rsidP="00782418">
            <w:pPr>
              <w:rPr>
                <w:rFonts w:ascii="Segoe UI" w:hAnsi="Segoe UI" w:cs="Segoe UI"/>
                <w:sz w:val="24"/>
                <w:szCs w:val="24"/>
              </w:rPr>
            </w:pPr>
          </w:p>
          <w:p w14:paraId="23490B92" w14:textId="7A0B1D1A" w:rsidR="0051130B" w:rsidRPr="00E5532C" w:rsidRDefault="0051130B" w:rsidP="00782418">
            <w:pPr>
              <w:rPr>
                <w:rFonts w:ascii="Candara" w:hAnsi="Candara" w:cs="Segoe UI"/>
              </w:rPr>
            </w:pPr>
            <w:r w:rsidRPr="00E5532C">
              <w:rPr>
                <w:rFonts w:ascii="Candara" w:hAnsi="Candara"/>
              </w:rPr>
              <w:t>Cree un documento de formularios para recibir comentarios. Revise el documento de formularios con el SBLT y determine los próximos pasos para mejorar las deficiencias y mejorar las fortalezas.</w:t>
            </w:r>
          </w:p>
          <w:p w14:paraId="609FE6F3" w14:textId="77777777" w:rsidR="00782418" w:rsidRPr="004902EC" w:rsidRDefault="00782418" w:rsidP="00782418">
            <w:pPr>
              <w:rPr>
                <w:rFonts w:ascii="Segoe UI" w:hAnsi="Segoe UI" w:cs="Segoe UI"/>
                <w:b/>
                <w:bCs/>
                <w:sz w:val="24"/>
                <w:szCs w:val="24"/>
              </w:rPr>
            </w:pPr>
          </w:p>
          <w:p w14:paraId="79707287" w14:textId="69E69F19" w:rsidR="00782418" w:rsidRPr="004902EC" w:rsidRDefault="00782418" w:rsidP="00782418">
            <w:pPr>
              <w:rPr>
                <w:rFonts w:ascii="Segoe UI" w:hAnsi="Segoe UI" w:cs="Segoe UI"/>
                <w:sz w:val="24"/>
                <w:szCs w:val="24"/>
              </w:rPr>
            </w:pPr>
          </w:p>
          <w:p w14:paraId="415E7BAE" w14:textId="5E1EAB7B" w:rsidR="00782418" w:rsidRPr="004902EC" w:rsidRDefault="00102082" w:rsidP="00782418">
            <w:pPr>
              <w:rPr>
                <w:rFonts w:ascii="Segoe UI" w:hAnsi="Segoe UI" w:cs="Segoe UI"/>
                <w:sz w:val="24"/>
                <w:szCs w:val="24"/>
              </w:rPr>
            </w:pPr>
            <w:r>
              <w:rPr>
                <w:rFonts w:ascii="Segoe UI" w:hAnsi="Segoe UI" w:cs="Segoe UI"/>
                <w:sz w:val="24"/>
                <w:szCs w:val="24"/>
              </w:rPr>
              <w:t>¿Cómo abordará las barreras para aumentar la asistencia y el apoyo académico en el hogar?</w:t>
            </w:r>
          </w:p>
          <w:p w14:paraId="4221BB25" w14:textId="23154260" w:rsidR="00782418" w:rsidRPr="004902EC" w:rsidRDefault="00782418" w:rsidP="00782418">
            <w:pPr>
              <w:rPr>
                <w:rFonts w:ascii="Segoe UI" w:hAnsi="Segoe UI" w:cs="Segoe UI"/>
                <w:sz w:val="24"/>
                <w:szCs w:val="24"/>
              </w:rPr>
            </w:pPr>
          </w:p>
          <w:p w14:paraId="01A01EBE" w14:textId="74C3140A" w:rsidR="00782418" w:rsidRDefault="002B1B03" w:rsidP="00782418">
            <w:pPr>
              <w:rPr>
                <w:rFonts w:ascii="Segoe UI" w:hAnsi="Segoe UI" w:cs="Segoe UI"/>
                <w:sz w:val="24"/>
                <w:szCs w:val="24"/>
              </w:rPr>
            </w:pPr>
            <w:r>
              <w:rPr>
                <w:rFonts w:ascii="Segoe UI" w:hAnsi="Segoe UI" w:cs="Segoe UI"/>
                <w:sz w:val="24"/>
                <w:szCs w:val="24"/>
              </w:rPr>
              <w:t>Ofrezca horarios variados para la participación de los padres a lo largo del día para participar en un evento.</w:t>
            </w:r>
          </w:p>
          <w:p w14:paraId="194A5ACC" w14:textId="0AE28B09" w:rsidR="00993915" w:rsidRPr="004902EC" w:rsidRDefault="00993915" w:rsidP="00782418">
            <w:pPr>
              <w:rPr>
                <w:rFonts w:ascii="Segoe UI" w:hAnsi="Segoe UI" w:cs="Segoe UI"/>
                <w:sz w:val="24"/>
                <w:szCs w:val="24"/>
              </w:rPr>
            </w:pPr>
            <w:r>
              <w:rPr>
                <w:rFonts w:ascii="Segoe UI" w:hAnsi="Segoe UI" w:cs="Segoe UI"/>
                <w:sz w:val="24"/>
                <w:szCs w:val="24"/>
              </w:rPr>
              <w:t xml:space="preserve">Alinee el seguimiento de los padres con estrategias específicas basadas en la escuela con medidas de seguimiento para garantizar que los padres estén en el trabajo y que los estudiantes muestren aumentos en las medidas académicas. </w:t>
            </w:r>
          </w:p>
          <w:p w14:paraId="2D9C05AE" w14:textId="5592A1F3" w:rsidR="006D3DC2" w:rsidRPr="004902EC" w:rsidRDefault="006D3DC2" w:rsidP="00782418">
            <w:pPr>
              <w:rPr>
                <w:rFonts w:ascii="Segoe UI" w:hAnsi="Segoe UI" w:cs="Segoe UI"/>
                <w:sz w:val="24"/>
                <w:szCs w:val="24"/>
              </w:rPr>
            </w:pPr>
          </w:p>
          <w:p w14:paraId="755BDAE4" w14:textId="77777777" w:rsidR="006D3DC2" w:rsidRPr="004902EC" w:rsidRDefault="006D3DC2" w:rsidP="00782418">
            <w:pPr>
              <w:rPr>
                <w:rFonts w:ascii="Segoe UI" w:hAnsi="Segoe UI" w:cs="Segoe UI"/>
                <w:sz w:val="24"/>
                <w:szCs w:val="24"/>
              </w:rPr>
            </w:pPr>
          </w:p>
          <w:p w14:paraId="12FB70D9" w14:textId="5324F51F" w:rsidR="00782418" w:rsidRPr="004902EC" w:rsidRDefault="00782418" w:rsidP="00782418">
            <w:pPr>
              <w:rPr>
                <w:rFonts w:ascii="Segoe UI" w:hAnsi="Segoe UI" w:cs="Segoe UI"/>
                <w:sz w:val="24"/>
                <w:szCs w:val="24"/>
              </w:rPr>
            </w:pPr>
          </w:p>
          <w:p w14:paraId="2C7A0FD1" w14:textId="659BB9DB" w:rsidR="00782418" w:rsidRPr="004902EC" w:rsidRDefault="00782418" w:rsidP="00782418">
            <w:pPr>
              <w:rPr>
                <w:rFonts w:ascii="Segoe UI" w:hAnsi="Segoe UI" w:cs="Segoe UI"/>
                <w:b/>
                <w:bCs/>
                <w:sz w:val="24"/>
                <w:szCs w:val="24"/>
              </w:rPr>
            </w:pPr>
            <w:r w:rsidRPr="004902EC">
              <w:rPr>
                <w:rFonts w:ascii="Segoe UI" w:hAnsi="Segoe UI" w:cs="Segoe UI"/>
                <w:sz w:val="24"/>
                <w:szCs w:val="24"/>
              </w:rPr>
              <w:t>¿Cómo hará llegar la información a los padres utilizando varias modalidades que no asisten?</w:t>
            </w:r>
          </w:p>
          <w:p w14:paraId="4BDC7A42" w14:textId="77777777" w:rsidR="00782418" w:rsidRDefault="00782418" w:rsidP="00782418">
            <w:pPr>
              <w:rPr>
                <w:i/>
                <w:iCs/>
                <w:sz w:val="26"/>
                <w:szCs w:val="26"/>
              </w:rPr>
            </w:pPr>
          </w:p>
          <w:p w14:paraId="6EF17D3D" w14:textId="3557A4E2" w:rsidR="00782418" w:rsidRDefault="00FF43DC" w:rsidP="00782418">
            <w:pPr>
              <w:rPr>
                <w:i/>
                <w:iCs/>
                <w:sz w:val="26"/>
                <w:szCs w:val="26"/>
              </w:rPr>
            </w:pPr>
            <w:r>
              <w:rPr>
                <w:i/>
                <w:iCs/>
                <w:sz w:val="26"/>
                <w:szCs w:val="26"/>
              </w:rPr>
              <w:t>Estudiantes llevándoselo a casa, digital a través de correos electrónicos y dojo.</w:t>
            </w:r>
          </w:p>
          <w:p w14:paraId="2FAA2694" w14:textId="15864E01" w:rsidR="002861E0" w:rsidRDefault="002861E0" w:rsidP="00782418">
            <w:pPr>
              <w:rPr>
                <w:b/>
                <w:bCs/>
                <w:sz w:val="28"/>
                <w:szCs w:val="28"/>
              </w:rPr>
            </w:pPr>
          </w:p>
          <w:p w14:paraId="201CD30E" w14:textId="0CD98DB7" w:rsidR="006D3DC2" w:rsidRDefault="006D3DC2" w:rsidP="00782418">
            <w:pPr>
              <w:rPr>
                <w:b/>
                <w:bCs/>
                <w:sz w:val="28"/>
                <w:szCs w:val="28"/>
              </w:rPr>
            </w:pPr>
          </w:p>
          <w:p w14:paraId="111E5FDA" w14:textId="77777777" w:rsidR="006D3DC2" w:rsidRDefault="006D3DC2" w:rsidP="00782418">
            <w:pPr>
              <w:rPr>
                <w:b/>
                <w:bCs/>
                <w:sz w:val="28"/>
                <w:szCs w:val="28"/>
              </w:rPr>
            </w:pPr>
          </w:p>
          <w:p w14:paraId="390EC8B4" w14:textId="2B5CA151" w:rsidR="002861E0" w:rsidRDefault="002861E0" w:rsidP="002E39ED">
            <w:pPr>
              <w:rPr>
                <w:b/>
                <w:bCs/>
                <w:sz w:val="28"/>
                <w:szCs w:val="28"/>
              </w:rPr>
            </w:pPr>
          </w:p>
        </w:tc>
      </w:tr>
    </w:tbl>
    <w:p w14:paraId="08C8B561" w14:textId="497C42CF" w:rsidR="00324FF2" w:rsidRDefault="00324FF2" w:rsidP="00962E22">
      <w:pPr>
        <w:rPr>
          <w:b/>
          <w:bCs/>
          <w:sz w:val="28"/>
          <w:szCs w:val="28"/>
        </w:rPr>
      </w:pPr>
    </w:p>
    <w:p w14:paraId="6CACF01F" w14:textId="77777777" w:rsidR="00BA2D70" w:rsidRDefault="00BA2D70" w:rsidP="00962E22">
      <w:pPr>
        <w:rPr>
          <w:b/>
          <w:bCs/>
          <w:sz w:val="28"/>
          <w:szCs w:val="28"/>
        </w:rPr>
      </w:pPr>
    </w:p>
    <w:p w14:paraId="5550AAD1" w14:textId="454C3FF7" w:rsidR="00137F17" w:rsidRDefault="00137F17" w:rsidP="00962E22">
      <w:pPr>
        <w:rPr>
          <w:b/>
          <w:bCs/>
          <w:sz w:val="28"/>
          <w:szCs w:val="28"/>
        </w:rPr>
      </w:pPr>
    </w:p>
    <w:p w14:paraId="193EB09D" w14:textId="77777777" w:rsidR="004902EC" w:rsidRDefault="004902EC" w:rsidP="00962E22">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Comunicación</w:t>
            </w:r>
          </w:p>
        </w:tc>
      </w:tr>
      <w:tr w:rsidR="00962E22" w14:paraId="39DBAD60" w14:textId="77777777">
        <w:tc>
          <w:tcPr>
            <w:tcW w:w="14390" w:type="dxa"/>
          </w:tcPr>
          <w:p w14:paraId="4E269980" w14:textId="2235EA71" w:rsidR="00962E22" w:rsidRPr="002861E0" w:rsidRDefault="00962E22">
            <w:pPr>
              <w:rPr>
                <w:b/>
                <w:bCs/>
                <w:sz w:val="24"/>
                <w:szCs w:val="24"/>
              </w:rPr>
            </w:pPr>
            <w:r w:rsidRPr="002861E0">
              <w:rPr>
                <w:sz w:val="24"/>
                <w:szCs w:val="24"/>
              </w:rPr>
              <w:t>Describa cómo la escuela proporcionará a los padres de los niños participantes lo siguiente [Sección 1118 (c) (4)]: • Información oportuna sobre los programas de Título I [Sección 1118 (c) (4) (A)]; • Descripción y explicación del plan de estudios en la escuela, las formas de evaluación académica utilizadas para medir el progreso de los estudiantes y los niveles de competencia que se espera que los estudiantes cumplan [Sección 1118 (c) (4) (B)]; • Si los padres lo solicitan, oportunidades para reuniones periódicas para formular sugerencias y participar, según corresponda, en las decisiones relacionadas con la educación de sus hijos [Sección 1118 (c) (4) (C)]; y • Si el plan del programa de toda la escuela bajo la Sección 1114 (b) (2) no es satisfactorio para los padres de los niños participantes, la escuela presentará los comentarios de los padres con el plan que se pondrá a disposición de la agencia de educación local [Sección 1118 (c) (5)].</w:t>
            </w:r>
          </w:p>
        </w:tc>
      </w:tr>
      <w:tr w:rsidR="00962E22" w14:paraId="7565524E" w14:textId="77777777">
        <w:tc>
          <w:tcPr>
            <w:tcW w:w="14390" w:type="dxa"/>
          </w:tcPr>
          <w:p w14:paraId="5C2FCC8A" w14:textId="77777777" w:rsidR="003746E5" w:rsidRDefault="003746E5" w:rsidP="003746E5">
            <w:pPr>
              <w:spacing w:before="60" w:line="288" w:lineRule="atLeast"/>
              <w:rPr>
                <w:rFonts w:ascii="Candara" w:eastAsia="Times New Roman" w:hAnsi="Candara" w:cstheme="minorHAnsi"/>
              </w:rPr>
            </w:pPr>
          </w:p>
          <w:p w14:paraId="657EA1AB" w14:textId="3282BA3F" w:rsidR="003746E5" w:rsidRPr="003746E5" w:rsidRDefault="003746E5" w:rsidP="003746E5">
            <w:pPr>
              <w:spacing w:before="60" w:line="288" w:lineRule="atLeast"/>
              <w:rPr>
                <w:rFonts w:ascii="Candara" w:eastAsia="Times New Roman" w:hAnsi="Candara" w:cstheme="minorHAnsi"/>
              </w:rPr>
            </w:pPr>
            <w:r w:rsidRPr="003746E5">
              <w:rPr>
                <w:rFonts w:ascii="Candara" w:eastAsia="Times New Roman" w:hAnsi="Candara" w:cstheme="minorHAnsi"/>
              </w:rPr>
              <w:lastRenderedPageBreak/>
              <w:t xml:space="preserve">La Escuela Primaria Azalea proporcionará información a los padres sobre los programas de Título I de manera oportuna utilizando varios métodos de comunicación, incluidas reuniones, cartas a casa, el mensajero de la escuela, Classdojo, correo electrónico y el sitio web de la escuela. En la noche de Back-2-School y en la </w:t>
            </w:r>
            <w:r w:rsidRPr="003746E5">
              <w:rPr>
                <w:rFonts w:ascii="Candara" w:eastAsia="Times New Roman" w:hAnsi="Candara" w:cstheme="minorHAnsi"/>
                <w:b/>
                <w:bCs/>
              </w:rPr>
              <w:t>Reunión Anual Independiente del Título I</w:t>
            </w:r>
            <w:r w:rsidRPr="003746E5">
              <w:rPr>
                <w:rFonts w:ascii="Candara" w:eastAsia="Times New Roman" w:hAnsi="Candara" w:cstheme="minorHAnsi"/>
              </w:rPr>
              <w:t xml:space="preserve">, se compartirá información sobre los programas, el plan de estudios y las evaluaciones académicas del Título I en las reuniones generales. Los maestros mantendrán hojas de registro y proporcionarán una copia al coordinador del Título I, quien también mantendrá la documentación sobre la difusión de información, los métodos de distribución y los plazos. Los padres recibirán un formulario de respuesta para completar para proporcionar información o hacer preguntas. El director responderá por correo electrónico a todas las preguntas que se dejen. Si un padre no está satisfecho con el plan del programa de toda la escuela bajo la Sección 1114 (b) (2), se le pedirá que proporcione sus comentarios al director, quien luego proporcionará los comentarios a la oficina del Título I. La información actualizada también se mantendrá en la "Estación para padres" ubicada en la oficina principal para la comodidad de los padres. </w:t>
            </w:r>
          </w:p>
          <w:p w14:paraId="2FDE1200" w14:textId="00C68705" w:rsidR="00962E22" w:rsidRPr="003746E5" w:rsidRDefault="003746E5">
            <w:pPr>
              <w:rPr>
                <w:rFonts w:ascii="Candara" w:hAnsi="Candara"/>
                <w:b/>
                <w:bCs/>
                <w:sz w:val="28"/>
                <w:szCs w:val="28"/>
              </w:rPr>
            </w:pPr>
            <w:r w:rsidRPr="003746E5">
              <w:rPr>
                <w:rFonts w:ascii="Candara" w:eastAsia="Times New Roman" w:hAnsi="Candara" w:cstheme="minorHAnsi"/>
              </w:rPr>
              <w:t>También utilizaremos encuestas para padres. Con base en los resultados de las encuestas, fortaleceremos nuestros programas / eventos y esto les permite a los padres una vía para proporcionar comentarios / aportes. Nuestro objetivo es una comunicación colaborativa bidireccional productiva.</w:t>
            </w:r>
          </w:p>
        </w:tc>
      </w:tr>
    </w:tbl>
    <w:p w14:paraId="254BDCD8" w14:textId="09744548" w:rsidR="00962E22" w:rsidRPr="0058313F" w:rsidRDefault="00962E22" w:rsidP="00962E22">
      <w:pPr>
        <w:rPr>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Reunión flexible de padres</w:t>
            </w:r>
          </w:p>
        </w:tc>
      </w:tr>
      <w:tr w:rsidR="00297DBC" w14:paraId="2953E67C" w14:textId="77777777" w:rsidTr="00297DBC">
        <w:trPr>
          <w:trHeight w:val="782"/>
        </w:trPr>
        <w:tc>
          <w:tcPr>
            <w:tcW w:w="14390" w:type="dxa"/>
          </w:tcPr>
          <w:p w14:paraId="59C302EB" w14:textId="5A1CE762" w:rsidR="00297DBC" w:rsidRPr="00297DBC" w:rsidRDefault="00297DBC">
            <w:pPr>
              <w:rPr>
                <w:b/>
                <w:bCs/>
                <w:sz w:val="24"/>
                <w:szCs w:val="24"/>
              </w:rPr>
            </w:pPr>
            <w:r w:rsidRPr="00297DBC">
              <w:rPr>
                <w:sz w:val="24"/>
                <w:szCs w:val="24"/>
              </w:rPr>
              <w:t>Describa cómo la escuela ofrecerá un número flexible de reuniones, como reuniones por la mañana o por la noche, y puede proporcionar fondos del Título I, transporte, cuidado de niños o visitas domiciliarias, ya que dichos servicios se relacionan con la participación de los padres [Sección 1118 (c) (2)].</w:t>
            </w:r>
          </w:p>
        </w:tc>
      </w:tr>
      <w:tr w:rsidR="00297DBC" w14:paraId="12F22A1A" w14:textId="77777777" w:rsidTr="00297DBC">
        <w:tc>
          <w:tcPr>
            <w:tcW w:w="14390" w:type="dxa"/>
          </w:tcPr>
          <w:p w14:paraId="756A09E8" w14:textId="77777777" w:rsidR="009A6167" w:rsidRDefault="009A6167">
            <w:pPr>
              <w:rPr>
                <w:rFonts w:eastAsia="Times New Roman" w:cstheme="minorHAnsi"/>
              </w:rPr>
            </w:pPr>
          </w:p>
          <w:p w14:paraId="12BDF938" w14:textId="45AC1337" w:rsidR="00297DBC" w:rsidRDefault="00A32248">
            <w:pPr>
              <w:rPr>
                <w:b/>
                <w:bCs/>
                <w:sz w:val="28"/>
                <w:szCs w:val="28"/>
              </w:rPr>
            </w:pPr>
            <w:r>
              <w:rPr>
                <w:rFonts w:eastAsia="Times New Roman" w:cstheme="minorHAnsi"/>
              </w:rPr>
              <w:t>La Escuela Primaria Azalea busca brindar un excelente servicio al cliente y disponibilidad para los padres. Los administradores se ponen a disposición de los padres en la mayor medida posible cuando los padres vienen a la escuela con preguntas o inquietudes. Ofrecemos eventos matutinos, nocturnos y virtuales durante todo el año. Vinculamos una opción virtual a cada evento para acomodar a más familias e involucrarlas en nuestros programas / eventos.</w:t>
            </w:r>
          </w:p>
          <w:p w14:paraId="1D0E887A" w14:textId="31208249" w:rsidR="00297DBC" w:rsidRDefault="00297DBC">
            <w:pPr>
              <w:rPr>
                <w:b/>
                <w:bCs/>
                <w:sz w:val="28"/>
                <w:szCs w:val="28"/>
              </w:rPr>
            </w:pPr>
          </w:p>
          <w:p w14:paraId="473304A8" w14:textId="0B468E94" w:rsidR="0058313F" w:rsidRDefault="0058313F">
            <w:pPr>
              <w:rPr>
                <w:b/>
                <w:bCs/>
                <w:sz w:val="28"/>
                <w:szCs w:val="28"/>
              </w:rPr>
            </w:pPr>
          </w:p>
          <w:p w14:paraId="7520CC98" w14:textId="77777777" w:rsidR="0058313F" w:rsidRDefault="0058313F">
            <w:pPr>
              <w:rPr>
                <w:b/>
                <w:bCs/>
                <w:sz w:val="28"/>
                <w:szCs w:val="28"/>
              </w:rPr>
            </w:pPr>
          </w:p>
          <w:p w14:paraId="51966D76" w14:textId="77777777" w:rsidR="00297DBC" w:rsidRDefault="00297DBC">
            <w:pPr>
              <w:rPr>
                <w:b/>
                <w:bCs/>
                <w:sz w:val="28"/>
                <w:szCs w:val="28"/>
              </w:rPr>
            </w:pP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t>Accesibilidad</w:t>
            </w:r>
          </w:p>
        </w:tc>
      </w:tr>
      <w:tr w:rsidR="00962E22" w14:paraId="3F27A29C" w14:textId="77777777">
        <w:tc>
          <w:tcPr>
            <w:tcW w:w="14390" w:type="dxa"/>
          </w:tcPr>
          <w:p w14:paraId="745043F7" w14:textId="77777777" w:rsidR="00962E22" w:rsidRDefault="00962E22">
            <w:pPr>
              <w:rPr>
                <w:sz w:val="24"/>
                <w:szCs w:val="24"/>
              </w:rPr>
            </w:pPr>
            <w:r w:rsidRPr="002861E0">
              <w:rPr>
                <w:sz w:val="24"/>
                <w:szCs w:val="24"/>
              </w:rPr>
              <w:t>Describa cómo la escuela brindará oportunidades completas para participar en actividades de participación de padres y familias para todos los padres (incluidos los padres con dominio limitado del inglés, discapacidades y niños migrantes). Incluya cómo la escuela planea compartir información relacionada con los programas escolares y para padres, reuniones, informes escolares y otras actividades en un formato comprensible y uniforme y, en la medida de lo posible, en un idioma que los padres puedan entender [Sección 1118 (e) (5) y 1118 (f)].</w:t>
            </w:r>
          </w:p>
          <w:p w14:paraId="78410C0D" w14:textId="77777777" w:rsidR="0058313F" w:rsidRDefault="0058313F">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174"/>
            </w:tblGrid>
            <w:tr w:rsidR="009A6167" w:rsidRPr="0080323D" w14:paraId="6E5D5FE0" w14:textId="77777777" w:rsidTr="00815D79">
              <w:tc>
                <w:tcPr>
                  <w:tcW w:w="0" w:type="auto"/>
                  <w:vAlign w:val="center"/>
                  <w:hideMark/>
                </w:tcPr>
                <w:p w14:paraId="1E77A0B7" w14:textId="5546AACA" w:rsidR="009A6167" w:rsidRPr="0080323D" w:rsidRDefault="009A6167" w:rsidP="009A6167">
                  <w:pPr>
                    <w:spacing w:before="60" w:line="288" w:lineRule="atLeast"/>
                    <w:rPr>
                      <w:rFonts w:eastAsia="Times New Roman" w:cstheme="minorHAnsi"/>
                    </w:rPr>
                  </w:pPr>
                  <w:r>
                    <w:rPr>
                      <w:rFonts w:eastAsia="Times New Roman" w:cstheme="minorHAnsi"/>
                    </w:rPr>
                    <w:t>La Escuela Primaria Azalea pondrá el Plan de Participación de Padres y Familias (PFEP) a disposición de los padres en todos los idiomas representados en el sitio web de la escuela. Se puede solicitar que la comunicación escrita se traduzca a otros idiomas que no sean el inglés. A petición de los padres, se pondrá a disposición un traductor en las reuniones de padres y en la oficina de la escuela para proporcionar servicios de traducción para garantizar que los padres puedan participar plenamente en las reuniones de padres. Los servicios de traducción del lenguaje de señas americano (ASL) también estarán disponibles a pedido de los padres.</w:t>
                  </w:r>
                </w:p>
              </w:tc>
            </w:tr>
          </w:tbl>
          <w:p w14:paraId="0B4AD981" w14:textId="77777777" w:rsidR="0058313F" w:rsidRDefault="0058313F">
            <w:pPr>
              <w:rPr>
                <w:sz w:val="24"/>
                <w:szCs w:val="24"/>
              </w:rPr>
            </w:pPr>
          </w:p>
          <w:p w14:paraId="3BC9BC97" w14:textId="77777777" w:rsidR="0058313F" w:rsidRDefault="0058313F">
            <w:pPr>
              <w:rPr>
                <w:sz w:val="24"/>
                <w:szCs w:val="24"/>
              </w:rPr>
            </w:pPr>
          </w:p>
          <w:p w14:paraId="6165A02D" w14:textId="77777777" w:rsidR="0058313F" w:rsidRDefault="0058313F">
            <w:pPr>
              <w:rPr>
                <w:sz w:val="24"/>
                <w:szCs w:val="24"/>
              </w:rPr>
            </w:pPr>
          </w:p>
          <w:p w14:paraId="40A6195C" w14:textId="24004B5E" w:rsidR="0058313F" w:rsidRPr="002861E0" w:rsidRDefault="0058313F">
            <w:pPr>
              <w:rPr>
                <w:b/>
                <w:bCs/>
                <w:sz w:val="24"/>
                <w:szCs w:val="24"/>
              </w:rPr>
            </w:pPr>
          </w:p>
        </w:tc>
      </w:tr>
    </w:tbl>
    <w:p w14:paraId="68881043" w14:textId="4022FAB5" w:rsidR="00297DBC" w:rsidRPr="00CB56F6" w:rsidRDefault="00297DBC" w:rsidP="00962E22">
      <w:pPr>
        <w:rPr>
          <w:b/>
          <w:bCs/>
          <w:sz w:val="28"/>
          <w:szCs w:val="28"/>
        </w:rPr>
      </w:pPr>
    </w:p>
    <w:sectPr w:rsidR="00297DBC" w:rsidRPr="00CB56F6" w:rsidSect="00CB56F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858634">
    <w:abstractNumId w:val="1"/>
  </w:num>
  <w:num w:numId="2" w16cid:durableId="42869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25DED"/>
    <w:rsid w:val="00040497"/>
    <w:rsid w:val="000447F9"/>
    <w:rsid w:val="000525FA"/>
    <w:rsid w:val="000936EF"/>
    <w:rsid w:val="000D6091"/>
    <w:rsid w:val="000E5FFF"/>
    <w:rsid w:val="000F2024"/>
    <w:rsid w:val="000F2400"/>
    <w:rsid w:val="000F2C07"/>
    <w:rsid w:val="0010200E"/>
    <w:rsid w:val="00102082"/>
    <w:rsid w:val="00115555"/>
    <w:rsid w:val="00137F17"/>
    <w:rsid w:val="00183444"/>
    <w:rsid w:val="001849AE"/>
    <w:rsid w:val="001A422D"/>
    <w:rsid w:val="001B2E7E"/>
    <w:rsid w:val="001C3EEA"/>
    <w:rsid w:val="001E28F4"/>
    <w:rsid w:val="001F77A1"/>
    <w:rsid w:val="001F7B09"/>
    <w:rsid w:val="002213DF"/>
    <w:rsid w:val="00265AAE"/>
    <w:rsid w:val="00280E02"/>
    <w:rsid w:val="002861E0"/>
    <w:rsid w:val="00294372"/>
    <w:rsid w:val="00297DBC"/>
    <w:rsid w:val="002B0AC3"/>
    <w:rsid w:val="002B1B03"/>
    <w:rsid w:val="002D45DF"/>
    <w:rsid w:val="002E086E"/>
    <w:rsid w:val="002E39ED"/>
    <w:rsid w:val="002F18C9"/>
    <w:rsid w:val="003041E4"/>
    <w:rsid w:val="00310217"/>
    <w:rsid w:val="00313688"/>
    <w:rsid w:val="00324FF2"/>
    <w:rsid w:val="003746E5"/>
    <w:rsid w:val="0038756F"/>
    <w:rsid w:val="003960F3"/>
    <w:rsid w:val="003A452E"/>
    <w:rsid w:val="003E4F37"/>
    <w:rsid w:val="003F7997"/>
    <w:rsid w:val="003F7E1C"/>
    <w:rsid w:val="00423654"/>
    <w:rsid w:val="0043272F"/>
    <w:rsid w:val="00443F7E"/>
    <w:rsid w:val="0047294B"/>
    <w:rsid w:val="004902EC"/>
    <w:rsid w:val="0049422C"/>
    <w:rsid w:val="004A1CA2"/>
    <w:rsid w:val="004D069C"/>
    <w:rsid w:val="004D2C60"/>
    <w:rsid w:val="004E2B96"/>
    <w:rsid w:val="004E6336"/>
    <w:rsid w:val="004F6383"/>
    <w:rsid w:val="0051130B"/>
    <w:rsid w:val="00511DDF"/>
    <w:rsid w:val="00532FFC"/>
    <w:rsid w:val="005528CC"/>
    <w:rsid w:val="00555785"/>
    <w:rsid w:val="00563858"/>
    <w:rsid w:val="0058313F"/>
    <w:rsid w:val="00585B64"/>
    <w:rsid w:val="005C3BAA"/>
    <w:rsid w:val="00627BED"/>
    <w:rsid w:val="00660808"/>
    <w:rsid w:val="006D3DC2"/>
    <w:rsid w:val="006E00D7"/>
    <w:rsid w:val="006E37AC"/>
    <w:rsid w:val="00700BF4"/>
    <w:rsid w:val="00703A48"/>
    <w:rsid w:val="00713ED5"/>
    <w:rsid w:val="00753278"/>
    <w:rsid w:val="00766E44"/>
    <w:rsid w:val="00775BDC"/>
    <w:rsid w:val="00780D6A"/>
    <w:rsid w:val="00782418"/>
    <w:rsid w:val="00786B20"/>
    <w:rsid w:val="007B02D5"/>
    <w:rsid w:val="007E5261"/>
    <w:rsid w:val="007F583D"/>
    <w:rsid w:val="007F597C"/>
    <w:rsid w:val="00804F50"/>
    <w:rsid w:val="00814267"/>
    <w:rsid w:val="008306EE"/>
    <w:rsid w:val="00830939"/>
    <w:rsid w:val="0084667C"/>
    <w:rsid w:val="00855902"/>
    <w:rsid w:val="008D54E5"/>
    <w:rsid w:val="00905EA3"/>
    <w:rsid w:val="0092250F"/>
    <w:rsid w:val="00931AB9"/>
    <w:rsid w:val="00945BE1"/>
    <w:rsid w:val="00962E22"/>
    <w:rsid w:val="00973C33"/>
    <w:rsid w:val="00980893"/>
    <w:rsid w:val="00983489"/>
    <w:rsid w:val="009872C3"/>
    <w:rsid w:val="009910E7"/>
    <w:rsid w:val="00993915"/>
    <w:rsid w:val="009A6167"/>
    <w:rsid w:val="009B42A4"/>
    <w:rsid w:val="009E48E2"/>
    <w:rsid w:val="009F1090"/>
    <w:rsid w:val="00A17F1E"/>
    <w:rsid w:val="00A30EA8"/>
    <w:rsid w:val="00A32248"/>
    <w:rsid w:val="00A514F8"/>
    <w:rsid w:val="00A62053"/>
    <w:rsid w:val="00AA548C"/>
    <w:rsid w:val="00AC27A3"/>
    <w:rsid w:val="00AD07A2"/>
    <w:rsid w:val="00AD26E1"/>
    <w:rsid w:val="00AD300F"/>
    <w:rsid w:val="00AD4000"/>
    <w:rsid w:val="00B30ED4"/>
    <w:rsid w:val="00B73F9A"/>
    <w:rsid w:val="00B95E62"/>
    <w:rsid w:val="00BA2D70"/>
    <w:rsid w:val="00C05ABB"/>
    <w:rsid w:val="00C145D8"/>
    <w:rsid w:val="00C64AA4"/>
    <w:rsid w:val="00C962AF"/>
    <w:rsid w:val="00CA6212"/>
    <w:rsid w:val="00CB56F6"/>
    <w:rsid w:val="00CC02D1"/>
    <w:rsid w:val="00CD0874"/>
    <w:rsid w:val="00CD1671"/>
    <w:rsid w:val="00CF52B8"/>
    <w:rsid w:val="00CF5340"/>
    <w:rsid w:val="00D464AA"/>
    <w:rsid w:val="00D712B3"/>
    <w:rsid w:val="00D853DF"/>
    <w:rsid w:val="00DA0202"/>
    <w:rsid w:val="00E07FA3"/>
    <w:rsid w:val="00E113F0"/>
    <w:rsid w:val="00E2209D"/>
    <w:rsid w:val="00E235F6"/>
    <w:rsid w:val="00E24115"/>
    <w:rsid w:val="00E50046"/>
    <w:rsid w:val="00E5532C"/>
    <w:rsid w:val="00E64118"/>
    <w:rsid w:val="00E956E8"/>
    <w:rsid w:val="00ED7380"/>
    <w:rsid w:val="00EE3176"/>
    <w:rsid w:val="00EF3C24"/>
    <w:rsid w:val="00EF6BF7"/>
    <w:rsid w:val="00F06391"/>
    <w:rsid w:val="00F11D8F"/>
    <w:rsid w:val="00F21FF2"/>
    <w:rsid w:val="00F422F6"/>
    <w:rsid w:val="00F7454F"/>
    <w:rsid w:val="00F85DED"/>
    <w:rsid w:val="00F94B99"/>
    <w:rsid w:val="00FA4D34"/>
    <w:rsid w:val="00FB6D85"/>
    <w:rsid w:val="00FC4AFA"/>
    <w:rsid w:val="00FD222F"/>
    <w:rsid w:val="00FF43DC"/>
    <w:rsid w:val="00FF7F49"/>
    <w:rsid w:val="0653F04A"/>
    <w:rsid w:val="0C696C38"/>
    <w:rsid w:val="0C9DE5AE"/>
    <w:rsid w:val="0F2D40B3"/>
    <w:rsid w:val="11A21989"/>
    <w:rsid w:val="16002081"/>
    <w:rsid w:val="16CF7747"/>
    <w:rsid w:val="1DF20A09"/>
    <w:rsid w:val="2C08142E"/>
    <w:rsid w:val="3E389F2F"/>
    <w:rsid w:val="3EA700BF"/>
    <w:rsid w:val="45F6FF5D"/>
    <w:rsid w:val="4775E590"/>
    <w:rsid w:val="4DFA6352"/>
    <w:rsid w:val="50CC56F5"/>
    <w:rsid w:val="5213AFBE"/>
    <w:rsid w:val="6676FD67"/>
    <w:rsid w:val="6D0FD16E"/>
    <w:rsid w:val="749D4A19"/>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 w:type="character" w:styleId="PlaceholderText">
    <w:name w:val="Placeholder Text"/>
    <w:basedOn w:val="DefaultParagraphFont"/>
    <w:uiPriority w:val="99"/>
    <w:semiHidden/>
    <w:rsid w:val="00E641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inellascountyschools-my.sharepoint.com/:w:/g/personal/petitboism_pcsb_org/EayViAyOcnRAvBYlSTaKn4oBc8ncRLTK4oiqSL-jTNq91w?e=q5fs9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e033c1-be40-4ac8-b9e7-718ee86eaf91">
      <Terms xmlns="http://schemas.microsoft.com/office/infopath/2007/PartnerControls"/>
    </lcf76f155ced4ddcb4097134ff3c332f>
    <_ip_UnifiedCompliancePolicyUIAction xmlns="http://schemas.microsoft.com/sharepoint/v3" xsi:nil="true"/>
    <TaxCatchAll xmlns="edb9677d-ead6-49e7-a9a2-2aa9d03037cd"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E0E64820428458E3D50DA0A810CBA" ma:contentTypeVersion="19" ma:contentTypeDescription="Create a new document." ma:contentTypeScope="" ma:versionID="2e8cf842e6e96d6001b61580a7dabe0b">
  <xsd:schema xmlns:xsd="http://www.w3.org/2001/XMLSchema" xmlns:xs="http://www.w3.org/2001/XMLSchema" xmlns:p="http://schemas.microsoft.com/office/2006/metadata/properties" xmlns:ns1="http://schemas.microsoft.com/sharepoint/v3" xmlns:ns2="9ce033c1-be40-4ac8-b9e7-718ee86eaf91" xmlns:ns3="edb9677d-ead6-49e7-a9a2-2aa9d03037cd" targetNamespace="http://schemas.microsoft.com/office/2006/metadata/properties" ma:root="true" ma:fieldsID="aea47c51ebb92777a494895d5bc2cc6f" ns1:_="" ns2:_="" ns3:_="">
    <xsd:import namespace="http://schemas.microsoft.com/sharepoint/v3"/>
    <xsd:import namespace="9ce033c1-be40-4ac8-b9e7-718ee86eaf91"/>
    <xsd:import namespace="edb9677d-ead6-49e7-a9a2-2aa9d03037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033c1-be40-4ac8-b9e7-718ee86ea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973a80-ac39-4648-84dd-a338749229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9677d-ead6-49e7-a9a2-2aa9d03037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57585c-cb30-4d05-8e28-9b1e38f51bfe}" ma:internalName="TaxCatchAll" ma:showField="CatchAllData" ma:web="edb9677d-ead6-49e7-a9a2-2aa9d0303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E5DE5-CE9B-4C04-9B9F-4C6586A748B2}">
  <ds:schemaRefs>
    <ds:schemaRef ds:uri="http://schemas.microsoft.com/sharepoint/v3/contenttype/forms"/>
  </ds:schemaRefs>
</ds:datastoreItem>
</file>

<file path=customXml/itemProps2.xml><?xml version="1.0" encoding="utf-8"?>
<ds:datastoreItem xmlns:ds="http://schemas.openxmlformats.org/officeDocument/2006/customXml" ds:itemID="{7DCA6A80-140E-4FBB-95DD-0DB0ABFE1BCF}">
  <ds:schemaRefs>
    <ds:schemaRef ds:uri="http://www.w3.org/XML/1998/namespace"/>
    <ds:schemaRef ds:uri="http://purl.org/dc/elements/1.1/"/>
    <ds:schemaRef ds:uri="http://purl.org/dc/dcmitype/"/>
    <ds:schemaRef ds:uri="9ce033c1-be40-4ac8-b9e7-718ee86eaf9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edb9677d-ead6-49e7-a9a2-2aa9d03037cd"/>
    <ds:schemaRef ds:uri="http://schemas.microsoft.com/sharepoint/v3"/>
    <ds:schemaRef ds:uri="http://purl.org/dc/terms/"/>
  </ds:schemaRefs>
</ds:datastoreItem>
</file>

<file path=customXml/itemProps3.xml><?xml version="1.0" encoding="utf-8"?>
<ds:datastoreItem xmlns:ds="http://schemas.openxmlformats.org/officeDocument/2006/customXml" ds:itemID="{3593D428-20F2-4DB7-92CD-0DB576CFE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e033c1-be40-4ac8-b9e7-718ee86eaf91"/>
    <ds:schemaRef ds:uri="edb9677d-ead6-49e7-a9a2-2aa9d0303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Kincaid Angela</cp:lastModifiedBy>
  <cp:revision>2</cp:revision>
  <cp:lastPrinted>2023-02-27T13:28:00Z</cp:lastPrinted>
  <dcterms:created xsi:type="dcterms:W3CDTF">2025-08-31T21:32:00Z</dcterms:created>
  <dcterms:modified xsi:type="dcterms:W3CDTF">2025-08-31T21:32:00Z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0x010100D44E0E64820428458E3D50DA0A810CBA</vt:lpwstr>
  </property>
  <property fmtid="{D5CDD505-2E9C-101B-9397-08002B2CF9AE}" pid="3" name="GrammarlyDocumentId">
    <vt:lpwstr>c4a5335f-572e-4cbb-8e14-ca2a75bc8120</vt:lpwstr>
  </property>
  <property fmtid="{D5CDD505-2E9C-101B-9397-08002B2CF9AE}" pid="4" name="MediaServiceImageTags">
    <vt:lpwstr/>
  </property>
</Properties>
</file>