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33"/>
        <w:tblW w:w="10790" w:type="dxa"/>
        <w:tblInd w:w="0" w:type="dxa"/>
        <w:tblCellMar>
          <w:top w:w="46" w:type="dxa"/>
          <w:right w:w="23" w:type="dxa"/>
        </w:tblCellMar>
        <w:tblLook w:val="04A0" w:firstRow="1" w:lastRow="0" w:firstColumn="1" w:lastColumn="0" w:noHBand="0" w:noVBand="1"/>
      </w:tblPr>
      <w:tblGrid>
        <w:gridCol w:w="558"/>
        <w:gridCol w:w="4835"/>
        <w:gridCol w:w="5397"/>
      </w:tblGrid>
      <w:tr w:rsidR="00551536" w:rsidTr="00551536">
        <w:trPr>
          <w:trHeight w:val="376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51536" w:rsidRDefault="00551536" w:rsidP="00551536">
            <w:pPr>
              <w:ind w:left="467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B51795" wp14:editId="1C5696C2">
                  <wp:simplePos x="0" y="0"/>
                  <wp:positionH relativeFrom="margin">
                    <wp:posOffset>467360</wp:posOffset>
                  </wp:positionH>
                  <wp:positionV relativeFrom="paragraph">
                    <wp:posOffset>-914400</wp:posOffset>
                  </wp:positionV>
                  <wp:extent cx="2305685" cy="742950"/>
                  <wp:effectExtent l="0" t="0" r="0" b="0"/>
                  <wp:wrapNone/>
                  <wp:docPr id="577" name="Picture 577" descr="ste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te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STEM Instruction &amp; Student Learning  </w:t>
            </w:r>
          </w:p>
        </w:tc>
      </w:tr>
      <w:tr w:rsidR="00551536" w:rsidTr="00551536">
        <w:trPr>
          <w:trHeight w:val="8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1.1  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hanging="132"/>
              <w:jc w:val="left"/>
            </w:pPr>
            <w:r>
              <w:rPr>
                <w:b w:val="0"/>
                <w:sz w:val="22"/>
              </w:rPr>
              <w:t xml:space="preserve"> Students are engaged in interdisciplinary problem- and/or inquiry-based STEM activities that focus on STEM practices (creativity, communication, perseverance, problem-solving, collaboration, critical thinking skills, research skills, career focus) </w:t>
            </w:r>
          </w:p>
        </w:tc>
      </w:tr>
      <w:tr w:rsidR="00551536" w:rsidTr="00551536">
        <w:trPr>
          <w:trHeight w:val="5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1.2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>Learning outcomes are integrated with relevant science and/or math standards that prepare students for future STEM learning and college and career readiness.</w:t>
            </w:r>
            <w:r>
              <w:rPr>
                <w:b w:val="0"/>
                <w:color w:val="0000FF"/>
                <w:sz w:val="22"/>
              </w:rPr>
              <w:t xml:space="preserve"> </w:t>
            </w:r>
          </w:p>
        </w:tc>
      </w:tr>
      <w:tr w:rsidR="00551536" w:rsidTr="00551536">
        <w:trPr>
          <w:trHeight w:val="5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1.3 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Student learning is evaluated using balanced assessment methods (constructed response, multiple choice, performance-based assessment, and informal assessments)  </w:t>
            </w:r>
          </w:p>
        </w:tc>
      </w:tr>
      <w:tr w:rsidR="00551536" w:rsidTr="00551536">
        <w:trPr>
          <w:trHeight w:val="572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tabs>
                <w:tab w:val="center" w:pos="7255"/>
              </w:tabs>
              <w:spacing w:after="7"/>
              <w:ind w:left="0" w:firstLine="0"/>
              <w:jc w:val="left"/>
            </w:pPr>
            <w:r>
              <w:rPr>
                <w:i/>
                <w:sz w:val="22"/>
              </w:rPr>
              <w:t xml:space="preserve">Artifacts  </w:t>
            </w:r>
            <w:r>
              <w:rPr>
                <w:i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Integrated course curriculum maps  </w:t>
            </w:r>
          </w:p>
          <w:p w:rsidR="00551536" w:rsidRDefault="00551536" w:rsidP="00551536">
            <w:pPr>
              <w:tabs>
                <w:tab w:val="center" w:pos="7774"/>
              </w:tabs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Sample STEM lesson plans &amp; assessments  </w:t>
            </w:r>
            <w:r>
              <w:rPr>
                <w:b w:val="0"/>
                <w:i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Student work samples and/or digital portfolios  </w:t>
            </w:r>
          </w:p>
        </w:tc>
      </w:tr>
      <w:tr w:rsidR="00551536" w:rsidTr="00551536">
        <w:trPr>
          <w:trHeight w:val="367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51536" w:rsidRDefault="00551536" w:rsidP="00551536">
            <w:pPr>
              <w:ind w:left="467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STEM Teacher Professional Development </w:t>
            </w:r>
          </w:p>
        </w:tc>
      </w:tr>
      <w:tr w:rsidR="00551536" w:rsidTr="00551536">
        <w:trPr>
          <w:trHeight w:val="3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2.1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Teachers and school leaders participate in ongoing STEM-specific professional development opportunities </w:t>
            </w:r>
          </w:p>
        </w:tc>
      </w:tr>
      <w:tr w:rsidR="00551536" w:rsidTr="00551536">
        <w:trPr>
          <w:trHeight w:val="31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2.2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Teachers integrate STEM professional learning into classroom instruction </w:t>
            </w:r>
          </w:p>
        </w:tc>
      </w:tr>
      <w:tr w:rsidR="00551536" w:rsidTr="00551536">
        <w:trPr>
          <w:trHeight w:val="840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tabs>
                <w:tab w:val="center" w:pos="6620"/>
              </w:tabs>
              <w:spacing w:after="7"/>
              <w:ind w:left="0" w:firstLine="0"/>
              <w:jc w:val="left"/>
            </w:pPr>
            <w:r>
              <w:rPr>
                <w:b w:val="0"/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Artifacts  </w:t>
            </w:r>
            <w:r>
              <w:rPr>
                <w:i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Photos from trainings </w:t>
            </w:r>
          </w:p>
          <w:p w:rsidR="00551536" w:rsidRDefault="00551536" w:rsidP="00551536">
            <w:pPr>
              <w:numPr>
                <w:ilvl w:val="0"/>
                <w:numId w:val="1"/>
              </w:numPr>
              <w:ind w:hanging="197"/>
              <w:jc w:val="left"/>
            </w:pPr>
            <w:r>
              <w:rPr>
                <w:b w:val="0"/>
                <w:i/>
                <w:sz w:val="22"/>
              </w:rPr>
              <w:t xml:space="preserve">List of STEM PD sessions offered </w:t>
            </w:r>
            <w:r>
              <w:rPr>
                <w:b w:val="0"/>
                <w:i/>
                <w:sz w:val="22"/>
              </w:rPr>
              <w:tab/>
              <w:t xml:space="preserve">                                      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Sample lessons demonstrating integration of </w:t>
            </w:r>
          </w:p>
          <w:p w:rsidR="00551536" w:rsidRDefault="00551536" w:rsidP="00551536">
            <w:pPr>
              <w:numPr>
                <w:ilvl w:val="0"/>
                <w:numId w:val="1"/>
              </w:numPr>
              <w:ind w:hanging="197"/>
              <w:jc w:val="left"/>
            </w:pPr>
            <w:r>
              <w:rPr>
                <w:b w:val="0"/>
                <w:i/>
                <w:sz w:val="22"/>
              </w:rPr>
              <w:t xml:space="preserve">Teacher feedback of training </w:t>
            </w:r>
            <w:r>
              <w:rPr>
                <w:b w:val="0"/>
                <w:i/>
                <w:sz w:val="22"/>
              </w:rPr>
              <w:tab/>
              <w:t xml:space="preserve">                                           professional learning </w:t>
            </w:r>
          </w:p>
        </w:tc>
      </w:tr>
      <w:tr w:rsidR="00551536" w:rsidTr="00551536">
        <w:trPr>
          <w:trHeight w:val="349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51536" w:rsidRDefault="00551536" w:rsidP="00551536">
            <w:pPr>
              <w:ind w:left="467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Instructional Planning for STEM </w:t>
            </w:r>
          </w:p>
        </w:tc>
      </w:tr>
      <w:tr w:rsidR="00551536" w:rsidTr="00551536">
        <w:trPr>
          <w:trHeight w:val="3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3.1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There is evidence of intentional integration across disciplines/ courses. </w:t>
            </w:r>
          </w:p>
        </w:tc>
      </w:tr>
      <w:tr w:rsidR="00551536" w:rsidTr="00551536">
        <w:trPr>
          <w:trHeight w:val="31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3.2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Teachers collaborate at least weekly to plan, share, or design STEM - infused learning opportunities  </w:t>
            </w:r>
          </w:p>
        </w:tc>
      </w:tr>
      <w:tr w:rsidR="00551536" w:rsidTr="00551536">
        <w:trPr>
          <w:trHeight w:val="394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62" w:right="361" w:hanging="55"/>
              <w:jc w:val="left"/>
            </w:pPr>
            <w:r>
              <w:rPr>
                <w:i/>
                <w:sz w:val="22"/>
              </w:rPr>
              <w:t xml:space="preserve">Artifacts 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Collaboration artifacts – log, lessons, assessments,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Grade level schedules  maps, PD integration, etc. </w:t>
            </w:r>
          </w:p>
        </w:tc>
      </w:tr>
      <w:tr w:rsidR="00551536" w:rsidTr="00551536">
        <w:trPr>
          <w:trHeight w:val="286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1536" w:rsidRDefault="00551536" w:rsidP="00551536">
            <w:pPr>
              <w:ind w:left="467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STEM Partnerships </w:t>
            </w:r>
          </w:p>
        </w:tc>
      </w:tr>
      <w:tr w:rsidR="00551536" w:rsidTr="00551536">
        <w:trPr>
          <w:trHeight w:val="3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4.1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Students are provided with opportunities to participate in active STEM learning that fosters real-world skills </w:t>
            </w:r>
          </w:p>
        </w:tc>
      </w:tr>
      <w:tr w:rsidR="00551536" w:rsidTr="00551536">
        <w:trPr>
          <w:trHeight w:val="5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4.2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The STEM program/school has active and sustained partnerships with community, business, and/or postsecondary institutions. </w:t>
            </w:r>
          </w:p>
        </w:tc>
      </w:tr>
      <w:tr w:rsidR="00551536" w:rsidTr="00551536">
        <w:trPr>
          <w:trHeight w:val="31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4.3 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STEM students have the opportunity to participate in multiple STEM competitions and extracurricular activities. </w:t>
            </w:r>
          </w:p>
        </w:tc>
      </w:tr>
      <w:tr w:rsidR="00551536" w:rsidTr="00551536">
        <w:trPr>
          <w:trHeight w:val="851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tabs>
                <w:tab w:val="center" w:pos="6599"/>
              </w:tabs>
              <w:spacing w:after="4"/>
              <w:ind w:left="0" w:firstLine="0"/>
              <w:jc w:val="left"/>
            </w:pPr>
            <w:r>
              <w:rPr>
                <w:i/>
                <w:sz w:val="22"/>
              </w:rPr>
              <w:t xml:space="preserve">Artifacts  </w:t>
            </w:r>
            <w:r>
              <w:rPr>
                <w:i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List of STEM partners  </w:t>
            </w:r>
          </w:p>
          <w:p w:rsidR="00551536" w:rsidRDefault="00551536" w:rsidP="00551536">
            <w:pPr>
              <w:tabs>
                <w:tab w:val="center" w:pos="6856"/>
              </w:tabs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 xml:space="preserve">      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Blog/Web posts with photos spotlighting the various </w:t>
            </w:r>
            <w:r>
              <w:rPr>
                <w:b w:val="0"/>
                <w:i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Description of partnerships </w:t>
            </w:r>
          </w:p>
          <w:p w:rsidR="00551536" w:rsidRDefault="00551536" w:rsidP="00551536">
            <w:pPr>
              <w:tabs>
                <w:tab w:val="center" w:pos="1909"/>
                <w:tab w:val="center" w:pos="7495"/>
              </w:tabs>
              <w:ind w:left="0" w:firstLine="0"/>
              <w:jc w:val="left"/>
            </w:pPr>
            <w:r>
              <w:rPr>
                <w:b w:val="0"/>
                <w:sz w:val="22"/>
              </w:rPr>
              <w:tab/>
              <w:t xml:space="preserve">         </w:t>
            </w:r>
            <w:r>
              <w:rPr>
                <w:b w:val="0"/>
                <w:i/>
                <w:sz w:val="22"/>
              </w:rPr>
              <w:t xml:space="preserve">STEM Competitions &amp; Partnerships </w:t>
            </w:r>
            <w:r>
              <w:rPr>
                <w:b w:val="0"/>
                <w:i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Photos of STEM partners at school events </w:t>
            </w:r>
          </w:p>
        </w:tc>
      </w:tr>
      <w:tr w:rsidR="00551536" w:rsidTr="00551536">
        <w:trPr>
          <w:trHeight w:val="304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1536" w:rsidRDefault="00551536" w:rsidP="00551536">
            <w:pPr>
              <w:ind w:left="467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STEM Learning Environment  </w:t>
            </w:r>
          </w:p>
        </w:tc>
      </w:tr>
      <w:tr w:rsidR="00551536" w:rsidTr="00551536">
        <w:trPr>
          <w:trHeight w:val="28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5.1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School has dedicated lab space where students engage regularly in active STEM learning </w:t>
            </w:r>
          </w:p>
        </w:tc>
      </w:tr>
      <w:tr w:rsidR="00551536" w:rsidTr="00551536">
        <w:trPr>
          <w:trHeight w:val="5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5.2 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Students frequently and seamlessly access technology in order to research, collaborate, create, and connect beyond classroom walls </w:t>
            </w:r>
          </w:p>
        </w:tc>
      </w:tr>
      <w:tr w:rsidR="00551536" w:rsidTr="00551536">
        <w:trPr>
          <w:trHeight w:val="5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536" w:rsidRDefault="00551536" w:rsidP="00551536">
            <w:pPr>
              <w:ind w:left="107" w:firstLine="0"/>
              <w:jc w:val="left"/>
            </w:pPr>
            <w:r>
              <w:rPr>
                <w:b w:val="0"/>
                <w:sz w:val="22"/>
              </w:rPr>
              <w:t xml:space="preserve">5.3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Students guide their own learning in a collaborative environment that encourages authentic and creative problem-solving </w:t>
            </w:r>
          </w:p>
        </w:tc>
      </w:tr>
      <w:tr w:rsidR="00551536" w:rsidTr="00551536">
        <w:trPr>
          <w:trHeight w:val="619"/>
        </w:trPr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spacing w:after="24"/>
              <w:ind w:left="107" w:firstLine="0"/>
              <w:jc w:val="left"/>
            </w:pPr>
            <w:r>
              <w:rPr>
                <w:i/>
                <w:sz w:val="22"/>
              </w:rPr>
              <w:t xml:space="preserve">Artifacts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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i/>
                <w:sz w:val="22"/>
              </w:rPr>
              <w:t xml:space="preserve">STEM Lab Blog with photos, videos, work samples, happenings, etc. of STEM Lab in use 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numPr>
                <w:ilvl w:val="0"/>
                <w:numId w:val="2"/>
              </w:numPr>
              <w:ind w:hanging="197"/>
              <w:jc w:val="left"/>
            </w:pPr>
            <w:r>
              <w:rPr>
                <w:b w:val="0"/>
                <w:i/>
                <w:sz w:val="22"/>
              </w:rPr>
              <w:t xml:space="preserve">List of technology resources available in school </w:t>
            </w:r>
          </w:p>
          <w:p w:rsidR="00551536" w:rsidRDefault="00551536" w:rsidP="00551536">
            <w:pPr>
              <w:numPr>
                <w:ilvl w:val="0"/>
                <w:numId w:val="2"/>
              </w:numPr>
              <w:ind w:hanging="197"/>
              <w:jc w:val="left"/>
            </w:pPr>
            <w:r>
              <w:rPr>
                <w:b w:val="0"/>
                <w:i/>
                <w:sz w:val="22"/>
              </w:rPr>
              <w:t xml:space="preserve">Sample of digital resources created by students </w:t>
            </w:r>
          </w:p>
        </w:tc>
      </w:tr>
      <w:tr w:rsidR="00551536" w:rsidTr="00551536">
        <w:trPr>
          <w:trHeight w:val="430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1536" w:rsidRDefault="00551536" w:rsidP="00551536">
            <w:pPr>
              <w:ind w:left="467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STEM Students  </w:t>
            </w:r>
          </w:p>
        </w:tc>
      </w:tr>
      <w:tr w:rsidR="00551536" w:rsidTr="00551536">
        <w:trPr>
          <w:trHeight w:val="54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720939" w:rsidP="00551536">
            <w:pPr>
              <w:ind w:left="107" w:firstLine="0"/>
              <w:jc w:val="left"/>
            </w:pPr>
            <w:r>
              <w:rPr>
                <w:b w:val="0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-6941</wp:posOffset>
                      </wp:positionH>
                      <wp:positionV relativeFrom="paragraph">
                        <wp:posOffset>494532</wp:posOffset>
                      </wp:positionV>
                      <wp:extent cx="914400" cy="9144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0939" w:rsidRPr="00720939" w:rsidRDefault="00720939" w:rsidP="00720939">
                                  <w:pPr>
                                    <w:ind w:left="0" w:firstLine="0"/>
                                    <w:jc w:val="left"/>
                                    <w:rPr>
                                      <w:b w:val="0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720939">
                                    <w:rPr>
                                      <w:b w:val="0"/>
                                      <w:i/>
                                      <w:sz w:val="24"/>
                                      <w:szCs w:val="24"/>
                                    </w:rPr>
                                    <w:t xml:space="preserve">Adopted from Cobb County </w:t>
                                  </w:r>
                                </w:p>
                                <w:p w:rsidR="00720939" w:rsidRDefault="0072093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.55pt;margin-top:38.9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" fillcolor="white [3201]" stroked="f" strokeweight=".5pt">
                      <v:textbox>
                        <w:txbxContent>
                          <w:p w:rsidR="00720939" w:rsidRPr="00720939" w:rsidRDefault="00720939" w:rsidP="00720939">
                            <w:pPr>
                              <w:ind w:left="0" w:firstLine="0"/>
                              <w:jc w:val="left"/>
                              <w:rPr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720939">
                              <w:rPr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Adopted from Cobb County </w:t>
                            </w:r>
                          </w:p>
                          <w:p w:rsidR="00720939" w:rsidRDefault="0072093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536">
              <w:rPr>
                <w:b w:val="0"/>
                <w:sz w:val="22"/>
              </w:rPr>
              <w:t xml:space="preserve">6.1 </w:t>
            </w:r>
          </w:p>
        </w:tc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36" w:rsidRDefault="00551536" w:rsidP="00551536">
            <w:pPr>
              <w:ind w:left="108" w:firstLine="0"/>
              <w:jc w:val="left"/>
            </w:pPr>
            <w:r>
              <w:rPr>
                <w:b w:val="0"/>
                <w:sz w:val="22"/>
              </w:rPr>
              <w:t xml:space="preserve">For STEM Program seekers, STEM students reflect population of the school (not applicable to schools seeking whole-school certification) </w:t>
            </w:r>
          </w:p>
        </w:tc>
      </w:tr>
    </w:tbl>
    <w:p w:rsidR="002B5493" w:rsidRDefault="002B5493" w:rsidP="00720939">
      <w:pPr>
        <w:spacing w:after="16"/>
        <w:ind w:left="0" w:firstLine="0"/>
        <w:jc w:val="left"/>
      </w:pPr>
      <w:bookmarkStart w:id="0" w:name="_GoBack"/>
      <w:bookmarkEnd w:id="0"/>
    </w:p>
    <w:sectPr w:rsidR="002B5493" w:rsidSect="00D5461D">
      <w:headerReference w:type="default" r:id="rId8"/>
      <w:pgSz w:w="12240" w:h="15840"/>
      <w:pgMar w:top="1440" w:right="1022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B8" w:rsidRDefault="00FF11B8" w:rsidP="00551536">
      <w:pPr>
        <w:spacing w:line="240" w:lineRule="auto"/>
      </w:pPr>
      <w:r>
        <w:separator/>
      </w:r>
    </w:p>
  </w:endnote>
  <w:endnote w:type="continuationSeparator" w:id="0">
    <w:p w:rsidR="00FF11B8" w:rsidRDefault="00FF11B8" w:rsidP="00551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B8" w:rsidRDefault="00FF11B8" w:rsidP="00551536">
      <w:pPr>
        <w:spacing w:line="240" w:lineRule="auto"/>
      </w:pPr>
      <w:r>
        <w:separator/>
      </w:r>
    </w:p>
  </w:footnote>
  <w:footnote w:type="continuationSeparator" w:id="0">
    <w:p w:rsidR="00FF11B8" w:rsidRDefault="00FF11B8" w:rsidP="005515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536" w:rsidRDefault="00551536" w:rsidP="00551536">
    <w:pPr>
      <w:ind w:left="-6572" w:right="-15"/>
      <w:jc w:val="center"/>
    </w:pPr>
    <w:r>
      <w:t xml:space="preserve">                                                                                                                                                                    Secondary STEM School </w:t>
    </w:r>
  </w:p>
  <w:p w:rsidR="00551536" w:rsidRDefault="00551536" w:rsidP="00551536">
    <w:pPr>
      <w:ind w:left="-6178" w:right="648" w:hanging="14"/>
    </w:pPr>
    <w:r>
      <w:t xml:space="preserve">               Certification Criteria </w:t>
    </w:r>
    <w:r w:rsidRPr="00551536">
      <w:rPr>
        <w:i/>
        <w:sz w:val="20"/>
        <w:szCs w:val="20"/>
      </w:rPr>
      <w:t>6</w:t>
    </w:r>
    <w:r w:rsidRPr="00551536">
      <w:rPr>
        <w:i/>
        <w:sz w:val="20"/>
        <w:szCs w:val="20"/>
        <w:vertAlign w:val="superscript"/>
      </w:rPr>
      <w:t>th</w:t>
    </w:r>
    <w:r w:rsidRPr="00551536">
      <w:rPr>
        <w:i/>
        <w:sz w:val="20"/>
        <w:szCs w:val="20"/>
      </w:rPr>
      <w:t xml:space="preserve"> -12</w:t>
    </w:r>
    <w:r w:rsidRPr="00551536">
      <w:rPr>
        <w:i/>
        <w:sz w:val="20"/>
        <w:szCs w:val="20"/>
        <w:vertAlign w:val="superscript"/>
      </w:rPr>
      <w:t>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84620"/>
    <w:multiLevelType w:val="hybridMultilevel"/>
    <w:tmpl w:val="D584D336"/>
    <w:lvl w:ilvl="0" w:tplc="63D2FC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6D57C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2C056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209BA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044B8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F0F4B6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CD2DC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295FA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FB88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62398A"/>
    <w:multiLevelType w:val="hybridMultilevel"/>
    <w:tmpl w:val="3FCE2CAC"/>
    <w:lvl w:ilvl="0" w:tplc="294CB262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4E902">
      <w:start w:val="1"/>
      <w:numFmt w:val="bullet"/>
      <w:lvlText w:val="o"/>
      <w:lvlJc w:val="left"/>
      <w:pPr>
        <w:ind w:left="1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2314A">
      <w:start w:val="1"/>
      <w:numFmt w:val="bullet"/>
      <w:lvlText w:val="▪"/>
      <w:lvlJc w:val="left"/>
      <w:pPr>
        <w:ind w:left="1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C44EA">
      <w:start w:val="1"/>
      <w:numFmt w:val="bullet"/>
      <w:lvlText w:val="•"/>
      <w:lvlJc w:val="left"/>
      <w:pPr>
        <w:ind w:left="2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D2E214">
      <w:start w:val="1"/>
      <w:numFmt w:val="bullet"/>
      <w:lvlText w:val="o"/>
      <w:lvlJc w:val="left"/>
      <w:pPr>
        <w:ind w:left="3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FAA662">
      <w:start w:val="1"/>
      <w:numFmt w:val="bullet"/>
      <w:lvlText w:val="▪"/>
      <w:lvlJc w:val="left"/>
      <w:pPr>
        <w:ind w:left="4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A1328">
      <w:start w:val="1"/>
      <w:numFmt w:val="bullet"/>
      <w:lvlText w:val="•"/>
      <w:lvlJc w:val="left"/>
      <w:pPr>
        <w:ind w:left="4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05B42">
      <w:start w:val="1"/>
      <w:numFmt w:val="bullet"/>
      <w:lvlText w:val="o"/>
      <w:lvlJc w:val="left"/>
      <w:pPr>
        <w:ind w:left="5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C8254">
      <w:start w:val="1"/>
      <w:numFmt w:val="bullet"/>
      <w:lvlText w:val="▪"/>
      <w:lvlJc w:val="left"/>
      <w:pPr>
        <w:ind w:left="6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DD"/>
    <w:rsid w:val="0008562A"/>
    <w:rsid w:val="00104D12"/>
    <w:rsid w:val="002B5493"/>
    <w:rsid w:val="005251DD"/>
    <w:rsid w:val="00551536"/>
    <w:rsid w:val="00720939"/>
    <w:rsid w:val="00835D0B"/>
    <w:rsid w:val="00AC1244"/>
    <w:rsid w:val="00D5461D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A0158E-4949-4C75-AA21-40563BB0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5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36"/>
    <w:rPr>
      <w:rFonts w:ascii="Calibri" w:eastAsia="Calibri" w:hAnsi="Calibri" w:cs="Calibri"/>
      <w:b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5515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36"/>
    <w:rPr>
      <w:rFonts w:ascii="Calibri" w:eastAsia="Calibri" w:hAnsi="Calibri" w:cs="Calibri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1D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Creel</dc:creator>
  <cp:keywords/>
  <cp:lastModifiedBy>Bryant, Stephanie</cp:lastModifiedBy>
  <cp:revision>3</cp:revision>
  <cp:lastPrinted>2017-11-08T14:14:00Z</cp:lastPrinted>
  <dcterms:created xsi:type="dcterms:W3CDTF">2017-11-06T19:25:00Z</dcterms:created>
  <dcterms:modified xsi:type="dcterms:W3CDTF">2017-11-08T14:23:00Z</dcterms:modified>
</cp:coreProperties>
</file>