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Saddleback High School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152400</wp:posOffset>
            </wp:positionV>
            <wp:extent cx="834437" cy="83443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437" cy="8344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School Site Council Meeting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April 22, 2025 @ 3:45 PM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The Nest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22 de abril del 2025 @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3:45 PM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4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Call to Order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Bienvenida y llamado al orden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4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Minutes Approval for March 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Aprobación de minutas de marzo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min.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3.0  Public Comments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Comentarios del Público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  DAC &amp; DELAC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Reportes de CCD y CCAI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 xml:space="preserve">           </w:t>
        <w:tab/>
        <w:tab/>
        <w:tab/>
        <w:tab/>
        <w:t xml:space="preserve">5 min.</w:t>
        <w:tab/>
        <w:tab/>
        <w:tab/>
        <w:t xml:space="preserve">      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5.0  School Reports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Reportes de la Escuela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          </w:t>
        <w:tab/>
        <w:t xml:space="preserve">           </w:t>
        <w:tab/>
        <w:t xml:space="preserve">          10 min.</w:t>
        <w:tab/>
        <w:t xml:space="preserve">     </w:t>
        <w:tab/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 Parent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 del Padre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 Student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 del Alumno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 Teacher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 del Maestro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5.4 Principal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Reporte del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6.0 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Asuntos Nuevos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   </w:t>
        <w:tab/>
        <w:t xml:space="preserve">        </w:t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55 min.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6.1  School Plan (SPSA) Review (Goals and Programs)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Repaso de las metas y Programas del Plan Escolar (SPSA)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AVID Presentation - Mrs. Jannike Avila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SPSA/Title I &amp; EL Program Annual Review Recommendations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Recomendaciones de revisión anual del programa SPSA/Título I y EL 2024-2025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1: School Climate /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Meta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Clima escolar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2: English Language Arts /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Meta 2 Clases de Inglés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3: English Learner Progress /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Meta 3 Progreso de aprendices de inglés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4: Math /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Meta 4 Matemáticas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5: Content Area /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Meta 5 Clases de contenido de historia y ciencia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 6: Parent Engagement /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Meta 6 Participación de los padres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 Technology Demo Day Invitation- April 30/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Invitación al día de demostración de tecnología- 30 de abril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6.4 Review and approve Parent Engagement Policy, School Parent Compact, and Bylaws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Revisar  y aprobar la Política de participación de los padres, el Convenio escolar para padres y los Estatutos.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6.5 Seek recommendations of ELAC committee on needs of EL-learners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Solicitar recomendaciones del comité de ELAC en las necesidades de los aprendices de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7.0 Adjournment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Cierre de la sesión  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Tuesday, May 20th, 2025.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Próxima reunión 20 de mayo del 2025.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8" w:top="288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240" w:before="24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5257800</wp:posOffset>
          </wp:positionH>
          <wp:positionV relativeFrom="paragraph">
            <wp:posOffset>132793</wp:posOffset>
          </wp:positionV>
          <wp:extent cx="1033463" cy="98539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98539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405" w:hanging="405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1125" w:hanging="405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