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tmsos4yryth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Law 2 – Pacing Calendar 2025–2026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Instructor:</w:t>
      </w:r>
      <w:r w:rsidDel="00000000" w:rsidR="00000000" w:rsidRPr="00000000">
        <w:rPr>
          <w:rtl w:val="0"/>
        </w:rPr>
        <w:t xml:space="preserve"> Mr. La Beau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Course Title:</w:t>
      </w:r>
      <w:r w:rsidDel="00000000" w:rsidR="00000000" w:rsidRPr="00000000">
        <w:rPr>
          <w:rtl w:val="0"/>
        </w:rPr>
        <w:t xml:space="preserve"> Law Enforcement II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School Year:</w:t>
      </w:r>
      <w:r w:rsidDel="00000000" w:rsidR="00000000" w:rsidRPr="00000000">
        <w:rPr>
          <w:rtl w:val="0"/>
        </w:rPr>
        <w:t xml:space="preserve"> 2025–2026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tlabeau@ldisd.net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1hrggusbyoa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Week 1–3 (Aug 11 – Aug 29, 2025)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Unit:</w:t>
      </w:r>
      <w:r w:rsidDel="00000000" w:rsidR="00000000" w:rsidRPr="00000000">
        <w:rPr>
          <w:rtl w:val="0"/>
        </w:rPr>
        <w:t xml:space="preserve"> Civil Law Procedures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130.294(c)(1)(A–E) – Explain differences between civil and criminal law; demonstrate steps for filing and responding to a civil lawsuit.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Evidence of Learning: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Civil vs. criminal law comparison chart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Mock civil filing activity</w:t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1nb68ppn3cu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Week 4–7 (Sept 1 – Sept 26, 2025)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Unit:</w:t>
      </w:r>
      <w:r w:rsidDel="00000000" w:rsidR="00000000" w:rsidRPr="00000000">
        <w:rPr>
          <w:rtl w:val="0"/>
        </w:rPr>
        <w:t xml:space="preserve"> Specialized Crimes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130.294(c)(2)(A–E) – Identify specialized crimes and their elements; analyze investigative techniques.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Evidence of Learning: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Case study analysis of specialized crimes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Group investigative strategy presentation</w:t>
        <w:br w:type="textWrapping"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