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[Grade Level, e.g., 9th Grade]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Burgess –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The Lake Dallas High School library!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Michael Burgess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mburgess@ldisd.net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librarianship,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Cataloging </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learn basic cataloging practices.</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Activities: Students will enter books into the system and enter appropriate MARC data. Students will access existing MARC data when possible to duplicate records, and recognize and correct cataloging errors. </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Unit 2: Book Repair</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be able to repair books. </w:t>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Activities: Students will learn basic book maintenance and how to use paper tools. Students will repair bindings, covers, and spines. </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Unit 3: Shelving and Dewey</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be able to navigate the Dewey Decimal System and correctly organize books</w:t>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Activities: Learning the 10 sections of Dewey, shelve books daily, organize and clean shelves. </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A">
      <w:pPr>
        <w:numPr>
          <w:ilvl w:val="1"/>
          <w:numId w:val="2"/>
        </w:numPr>
        <w:spacing w:after="240" w:before="0" w:beforeAutospacing="0" w:lineRule="auto"/>
        <w:ind w:left="1440" w:hanging="360"/>
      </w:pPr>
      <w:r w:rsidDel="00000000" w:rsidR="00000000" w:rsidRPr="00000000">
        <w:rPr>
          <w:rtl w:val="0"/>
        </w:rPr>
        <w:t xml:space="preserve">Organizational skills, customer service, phone etiquette. </w:t>
      </w:r>
      <w:r w:rsidDel="00000000" w:rsidR="00000000" w:rsidRPr="00000000">
        <w:rPr>
          <w:rtl w:val="0"/>
        </w:rPr>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Michael Burgess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