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0AB" w:rsidRDefault="001D4B70">
      <w:pPr>
        <w:pStyle w:val="NormalWeb"/>
        <w:rPr>
          <w:rFonts w:ascii="Arial" w:hAnsi="Arial" w:cs="Arial"/>
          <w:b/>
          <w:color w:val="000080"/>
          <w:sz w:val="27"/>
        </w:rPr>
      </w:pPr>
      <w:r>
        <w:rPr>
          <w:rFonts w:ascii="Arial" w:hAnsi="Arial" w:cs="Arial"/>
          <w:b/>
          <w:color w:val="000080"/>
          <w:sz w:val="27"/>
        </w:rPr>
        <w:t>5300.75 DISSEMINATION AND REVIEW</w:t>
      </w:r>
    </w:p>
    <w:p w:rsidR="005620AB" w:rsidRDefault="001D4B70">
      <w:pPr>
        <w:pStyle w:val="NormalWeb"/>
        <w:rPr>
          <w:rFonts w:ascii="Arial" w:hAnsi="Arial" w:cs="Arial"/>
        </w:rPr>
      </w:pPr>
      <w:r>
        <w:rPr>
          <w:rFonts w:ascii="Arial" w:hAnsi="Arial" w:cs="Arial"/>
        </w:rPr>
        <w:t xml:space="preserve">A. </w:t>
      </w:r>
      <w:r>
        <w:rPr>
          <w:rFonts w:ascii="Arial" w:hAnsi="Arial" w:cs="Arial"/>
          <w:u w:val="single"/>
        </w:rPr>
        <w:t>Dissemination of Code of Conduct</w:t>
      </w:r>
    </w:p>
    <w:p w:rsidR="005620AB" w:rsidRDefault="001D4B70">
      <w:pPr>
        <w:pStyle w:val="NormalWeb"/>
        <w:rPr>
          <w:rFonts w:ascii="Arial" w:hAnsi="Arial" w:cs="Arial"/>
        </w:rPr>
      </w:pPr>
      <w:r>
        <w:rPr>
          <w:rFonts w:ascii="Arial" w:hAnsi="Arial" w:cs="Arial"/>
        </w:rPr>
        <w:t>The Board will work to ensure that the community is aware of this code of conduct by:</w:t>
      </w:r>
    </w:p>
    <w:p w:rsidR="005620AB" w:rsidRDefault="001D4B70">
      <w:pPr>
        <w:pStyle w:val="NormalWeb"/>
        <w:numPr>
          <w:ilvl w:val="0"/>
          <w:numId w:val="1"/>
        </w:numPr>
        <w:rPr>
          <w:rFonts w:ascii="Arial" w:hAnsi="Arial" w:cs="Arial"/>
        </w:rPr>
      </w:pPr>
      <w:r>
        <w:rPr>
          <w:rFonts w:ascii="Arial" w:hAnsi="Arial" w:cs="Arial"/>
        </w:rPr>
        <w:t>Providing copies of an age-appropriate, written in plain language, summary of the code to all students at an assembly to be held at the beginning of each school year.</w:t>
      </w:r>
    </w:p>
    <w:p w:rsidR="005620AB" w:rsidRDefault="001D4B70">
      <w:pPr>
        <w:pStyle w:val="NormalWeb"/>
        <w:numPr>
          <w:ilvl w:val="0"/>
          <w:numId w:val="1"/>
        </w:numPr>
        <w:rPr>
          <w:rFonts w:ascii="Arial" w:hAnsi="Arial" w:cs="Arial"/>
        </w:rPr>
      </w:pPr>
      <w:r>
        <w:rPr>
          <w:rFonts w:ascii="Arial" w:hAnsi="Arial" w:cs="Arial"/>
        </w:rPr>
        <w:t>Providing a plain language summary to all parents at the beginning of the school year, and thereafter on request.</w:t>
      </w:r>
    </w:p>
    <w:p w:rsidR="005620AB" w:rsidRDefault="001D4B70">
      <w:pPr>
        <w:pStyle w:val="NormalWeb"/>
        <w:numPr>
          <w:ilvl w:val="0"/>
          <w:numId w:val="1"/>
        </w:numPr>
        <w:rPr>
          <w:rFonts w:ascii="Arial" w:hAnsi="Arial" w:cs="Arial"/>
        </w:rPr>
      </w:pPr>
      <w:r>
        <w:rPr>
          <w:rFonts w:ascii="Arial" w:hAnsi="Arial" w:cs="Arial"/>
        </w:rPr>
        <w:t>Posting the complete code of conduct on the district’s website.</w:t>
      </w:r>
    </w:p>
    <w:p w:rsidR="005620AB" w:rsidRDefault="001D4B70">
      <w:pPr>
        <w:pStyle w:val="NormalWeb"/>
        <w:numPr>
          <w:ilvl w:val="0"/>
          <w:numId w:val="1"/>
        </w:numPr>
        <w:rPr>
          <w:rFonts w:ascii="Arial" w:hAnsi="Arial" w:cs="Arial"/>
        </w:rPr>
      </w:pPr>
      <w:r>
        <w:rPr>
          <w:rFonts w:ascii="Arial" w:hAnsi="Arial" w:cs="Arial"/>
        </w:rPr>
        <w:t>Providing all current teachers and other staff members with a copy of the code and a copy of any amendments to the code as soon as practicable after adoption.</w:t>
      </w:r>
    </w:p>
    <w:p w:rsidR="005620AB" w:rsidRDefault="001D4B70">
      <w:pPr>
        <w:pStyle w:val="NormalWeb"/>
        <w:numPr>
          <w:ilvl w:val="0"/>
          <w:numId w:val="1"/>
        </w:numPr>
        <w:rPr>
          <w:rFonts w:ascii="Arial" w:hAnsi="Arial" w:cs="Arial"/>
        </w:rPr>
      </w:pPr>
      <w:r>
        <w:rPr>
          <w:rFonts w:ascii="Arial" w:hAnsi="Arial" w:cs="Arial"/>
        </w:rPr>
        <w:t>Providing all new employees with a copy of the current code of conduct when they are first hired.</w:t>
      </w:r>
    </w:p>
    <w:p w:rsidR="005620AB" w:rsidRDefault="001D4B70">
      <w:pPr>
        <w:pStyle w:val="NormalWeb"/>
        <w:numPr>
          <w:ilvl w:val="0"/>
          <w:numId w:val="1"/>
        </w:numPr>
        <w:rPr>
          <w:rFonts w:ascii="Arial" w:hAnsi="Arial" w:cs="Arial"/>
        </w:rPr>
      </w:pPr>
      <w:r>
        <w:rPr>
          <w:rFonts w:ascii="Arial" w:hAnsi="Arial" w:cs="Arial"/>
        </w:rPr>
        <w:t>Making copies of the complete code available for review by students, parents and other community members.</w:t>
      </w:r>
    </w:p>
    <w:p w:rsidR="005620AB" w:rsidRDefault="001D4B70">
      <w:pPr>
        <w:pStyle w:val="NormalWeb"/>
        <w:rPr>
          <w:rFonts w:ascii="Arial" w:hAnsi="Arial" w:cs="Arial"/>
        </w:rPr>
      </w:pPr>
      <w:r>
        <w:rPr>
          <w:rFonts w:ascii="Arial" w:hAnsi="Arial" w:cs="Arial"/>
        </w:rPr>
        <w:t>The Board will sponsor an in-service education program for all district staff members to ensure the effective implementation of the code of conduct and other trainings to contribute to its success as needed.  The Superintendent may solicit the recommendations of the district staff, particularly teachers and administrators, regarding in-service programs pertaining to the management and discipline of students.  On-going professional development will be included in the district’s professional development plan, as needed.</w:t>
      </w:r>
    </w:p>
    <w:p w:rsidR="005620AB" w:rsidRDefault="001D4B70">
      <w:pPr>
        <w:pStyle w:val="NormalWeb"/>
        <w:rPr>
          <w:rFonts w:ascii="Arial" w:hAnsi="Arial" w:cs="Arial"/>
        </w:rPr>
      </w:pPr>
      <w:r>
        <w:rPr>
          <w:rFonts w:ascii="Arial" w:hAnsi="Arial" w:cs="Arial"/>
        </w:rPr>
        <w:t xml:space="preserve">B. </w:t>
      </w:r>
      <w:r>
        <w:rPr>
          <w:rFonts w:ascii="Arial" w:hAnsi="Arial" w:cs="Arial"/>
          <w:u w:val="single"/>
        </w:rPr>
        <w:t>Review of Code of Conduct</w:t>
      </w:r>
    </w:p>
    <w:p w:rsidR="005620AB" w:rsidRDefault="001D4B70">
      <w:pPr>
        <w:pStyle w:val="NormalWeb"/>
        <w:rPr>
          <w:rFonts w:ascii="Arial" w:hAnsi="Arial" w:cs="Arial"/>
        </w:rPr>
      </w:pPr>
      <w:r>
        <w:rPr>
          <w:rFonts w:ascii="Arial" w:hAnsi="Arial" w:cs="Arial"/>
        </w:rPr>
        <w:t>The Board will review this code of conduct every year and update it as necessary.  In conducting the review, the Board will consider how effective the code's provisions have been and whether the code has been applied fairly and consistently.</w:t>
      </w:r>
    </w:p>
    <w:p w:rsidR="005620AB" w:rsidRDefault="001D4B70">
      <w:pPr>
        <w:pStyle w:val="NormalWeb"/>
        <w:rPr>
          <w:rFonts w:ascii="Arial" w:hAnsi="Arial" w:cs="Arial"/>
        </w:rPr>
      </w:pPr>
      <w:r>
        <w:rPr>
          <w:rFonts w:ascii="Arial" w:hAnsi="Arial" w:cs="Arial"/>
        </w:rPr>
        <w:t>The Board may appoint an advisory committee to assist in reviewing the code and the district's response to code of conduct violations.  The committee will be made up of representatives of student, teacher, administrator, and parent organizations, school safety personnel and other school personnel.</w:t>
      </w:r>
    </w:p>
    <w:p w:rsidR="005620AB" w:rsidRDefault="001D4B70">
      <w:pPr>
        <w:pStyle w:val="NormalWeb"/>
        <w:rPr>
          <w:rFonts w:ascii="Arial" w:hAnsi="Arial" w:cs="Arial"/>
        </w:rPr>
      </w:pPr>
      <w:r>
        <w:rPr>
          <w:rFonts w:ascii="Arial" w:hAnsi="Arial" w:cs="Arial"/>
        </w:rPr>
        <w:t>Before adopting any revisions to the code, the Board will hold at least one public hearing at which school personnel, parents, students and any other interested party may participate.</w:t>
      </w:r>
    </w:p>
    <w:p w:rsidR="005620AB" w:rsidRDefault="001D4B70">
      <w:pPr>
        <w:pStyle w:val="NormalWeb"/>
        <w:rPr>
          <w:rFonts w:ascii="Arial" w:hAnsi="Arial" w:cs="Arial"/>
        </w:rPr>
      </w:pPr>
      <w:r>
        <w:rPr>
          <w:rFonts w:ascii="Arial" w:hAnsi="Arial" w:cs="Arial"/>
        </w:rPr>
        <w:t>The code of conduct and any amendments to it will be filed with the Commissioner of Education, in a manner prescribed by the Commissioner, no later than 30 days after adoption.</w:t>
      </w:r>
    </w:p>
    <w:p w:rsidR="005620AB" w:rsidRDefault="001D4B70" w:rsidP="009E2D9F">
      <w:pPr>
        <w:pStyle w:val="NormalWeb"/>
        <w:spacing w:before="0" w:beforeAutospacing="0" w:after="0" w:afterAutospacing="0"/>
        <w:rPr>
          <w:rFonts w:ascii="Arial" w:hAnsi="Arial" w:cs="Arial"/>
        </w:rPr>
      </w:pPr>
      <w:r>
        <w:rPr>
          <w:rFonts w:ascii="Arial" w:hAnsi="Arial" w:cs="Arial"/>
        </w:rPr>
        <w:t>1</w:t>
      </w:r>
      <w:r>
        <w:rPr>
          <w:rFonts w:ascii="Arial" w:hAnsi="Arial" w:cs="Arial"/>
          <w:u w:val="single"/>
        </w:rPr>
        <w:t>Ref</w:t>
      </w:r>
      <w:r>
        <w:rPr>
          <w:rFonts w:ascii="Arial" w:hAnsi="Arial" w:cs="Arial"/>
        </w:rPr>
        <w:t>:</w:t>
      </w:r>
    </w:p>
    <w:p w:rsidR="005620AB" w:rsidRDefault="009E2D9F" w:rsidP="009E2D9F">
      <w:pPr>
        <w:pStyle w:val="NormalWeb"/>
        <w:spacing w:before="0" w:beforeAutospacing="0" w:after="0" w:afterAutospacing="0"/>
        <w:ind w:left="600"/>
        <w:rPr>
          <w:rFonts w:ascii="Arial" w:hAnsi="Arial" w:cs="Arial"/>
        </w:rPr>
      </w:pPr>
      <w:hyperlink r:id="rId5" w:history="1">
        <w:r w:rsidR="001D4B70">
          <w:rPr>
            <w:rStyle w:val="Hyperlink"/>
            <w:rFonts w:ascii="Arial" w:hAnsi="Arial" w:cs="Arial"/>
          </w:rPr>
          <w:t>Education Law §3214</w:t>
        </w:r>
      </w:hyperlink>
    </w:p>
    <w:p w:rsidR="005620AB" w:rsidRDefault="009E2D9F" w:rsidP="009E2D9F">
      <w:pPr>
        <w:pStyle w:val="NormalWeb"/>
        <w:spacing w:before="0" w:beforeAutospacing="0" w:after="0" w:afterAutospacing="0"/>
        <w:ind w:left="600"/>
        <w:rPr>
          <w:rFonts w:ascii="Arial" w:hAnsi="Arial" w:cs="Arial"/>
        </w:rPr>
      </w:pPr>
      <w:hyperlink r:id="rId6" w:history="1">
        <w:r w:rsidR="001D4B70">
          <w:rPr>
            <w:rStyle w:val="Hyperlink"/>
            <w:rFonts w:ascii="Arial" w:hAnsi="Arial" w:cs="Arial"/>
          </w:rPr>
          <w:t>8 NYCRR §100.2</w:t>
        </w:r>
      </w:hyperlink>
      <w:r w:rsidR="001D4B70">
        <w:rPr>
          <w:rFonts w:ascii="Arial" w:hAnsi="Arial" w:cs="Arial"/>
        </w:rPr>
        <w:t>(l)</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Matter of O’Conner v. Bd. of Ed</w:t>
      </w:r>
      <w:r>
        <w:rPr>
          <w:rFonts w:ascii="Arial" w:hAnsi="Arial" w:cs="Arial"/>
        </w:rPr>
        <w:t>., 65 Misc. 2d 40, 43 (due process)</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Appeal of Reeves,</w:t>
      </w:r>
      <w:r>
        <w:rPr>
          <w:rFonts w:ascii="Arial" w:hAnsi="Arial" w:cs="Arial"/>
        </w:rPr>
        <w:t xml:space="preserve"> Dec. No. 13,857 (1998) (involuntary transfer)</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Appeal of Alexander,</w:t>
      </w:r>
      <w:r>
        <w:rPr>
          <w:rFonts w:ascii="Arial" w:hAnsi="Arial" w:cs="Arial"/>
        </w:rPr>
        <w:t xml:space="preserve"> 36 EDR 160 (1996) (counseling)</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lastRenderedPageBreak/>
        <w:t>Matter of Troy R</w:t>
      </w:r>
      <w:r>
        <w:rPr>
          <w:rFonts w:ascii="Arial" w:hAnsi="Arial" w:cs="Arial"/>
        </w:rPr>
        <w:t>., 29 EDR 424 (1990) (automatic penalties)</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Appeal of Ward</w:t>
      </w:r>
      <w:r>
        <w:rPr>
          <w:rFonts w:ascii="Arial" w:hAnsi="Arial" w:cs="Arial"/>
        </w:rPr>
        <w:t>, 27 EDR 217 (1988) (indefinite suspension)</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Appeal of Wood</w:t>
      </w:r>
      <w:r>
        <w:rPr>
          <w:rFonts w:ascii="Arial" w:hAnsi="Arial" w:cs="Arial"/>
        </w:rPr>
        <w:t>, 27 EDR 92 (1987) (suspension beyond school year)</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Matter of Clark</w:t>
      </w:r>
      <w:r>
        <w:rPr>
          <w:rFonts w:ascii="Arial" w:hAnsi="Arial" w:cs="Arial"/>
        </w:rPr>
        <w:t>, 21 EDR 542 (1982) (extracurricular activities)</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 xml:space="preserve">Matter of </w:t>
      </w:r>
      <w:proofErr w:type="spellStart"/>
      <w:r>
        <w:rPr>
          <w:rFonts w:ascii="Arial" w:hAnsi="Arial" w:cs="Arial"/>
          <w:i/>
        </w:rPr>
        <w:t>Caskey</w:t>
      </w:r>
      <w:proofErr w:type="spellEnd"/>
      <w:r>
        <w:rPr>
          <w:rFonts w:ascii="Arial" w:hAnsi="Arial" w:cs="Arial"/>
        </w:rPr>
        <w:t>, 21 EDR 138 (1981) (reduction in grade)</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 xml:space="preserve">Matter of </w:t>
      </w:r>
      <w:proofErr w:type="spellStart"/>
      <w:r>
        <w:rPr>
          <w:rFonts w:ascii="Arial" w:hAnsi="Arial" w:cs="Arial"/>
          <w:i/>
        </w:rPr>
        <w:t>MacWhinnie</w:t>
      </w:r>
      <w:proofErr w:type="spellEnd"/>
      <w:r>
        <w:rPr>
          <w:rFonts w:ascii="Arial" w:hAnsi="Arial" w:cs="Arial"/>
        </w:rPr>
        <w:t>, 20 EDR 145 (1980) (reduction in grade)</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 xml:space="preserve">Matter of </w:t>
      </w:r>
      <w:proofErr w:type="spellStart"/>
      <w:r>
        <w:rPr>
          <w:rFonts w:ascii="Arial" w:hAnsi="Arial" w:cs="Arial"/>
          <w:i/>
        </w:rPr>
        <w:t>Labriola</w:t>
      </w:r>
      <w:proofErr w:type="spellEnd"/>
      <w:r>
        <w:rPr>
          <w:rFonts w:ascii="Arial" w:hAnsi="Arial" w:cs="Arial"/>
        </w:rPr>
        <w:t>, 20 EDR 74 (1980) (excessive penalty)</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Matter of Roach</w:t>
      </w:r>
      <w:r>
        <w:rPr>
          <w:rFonts w:ascii="Arial" w:hAnsi="Arial" w:cs="Arial"/>
        </w:rPr>
        <w:t>, 19 EDR 377 (1980) (transportation; contingent suspensions)</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Matter of Caulfield</w:t>
      </w:r>
      <w:r>
        <w:rPr>
          <w:rFonts w:ascii="Arial" w:hAnsi="Arial" w:cs="Arial"/>
        </w:rPr>
        <w:t>, 18 EDR 574 (1979) (suspension from classes)</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Matter of Wright</w:t>
      </w:r>
      <w:r>
        <w:rPr>
          <w:rFonts w:ascii="Arial" w:hAnsi="Arial" w:cs="Arial"/>
        </w:rPr>
        <w:t>, 18 EDR 432 (1978) (formal due process)</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 xml:space="preserve">Matter of </w:t>
      </w:r>
      <w:proofErr w:type="spellStart"/>
      <w:r>
        <w:rPr>
          <w:rFonts w:ascii="Arial" w:hAnsi="Arial" w:cs="Arial"/>
          <w:i/>
        </w:rPr>
        <w:t>Macheski</w:t>
      </w:r>
      <w:proofErr w:type="spellEnd"/>
      <w:r>
        <w:rPr>
          <w:rFonts w:ascii="Arial" w:hAnsi="Arial" w:cs="Arial"/>
        </w:rPr>
        <w:t>, 13 EDR 112 (1973) (suspension by a principal)</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 xml:space="preserve">Matter of </w:t>
      </w:r>
      <w:proofErr w:type="spellStart"/>
      <w:r>
        <w:rPr>
          <w:rFonts w:ascii="Arial" w:hAnsi="Arial" w:cs="Arial"/>
          <w:i/>
        </w:rPr>
        <w:t>DeVore</w:t>
      </w:r>
      <w:proofErr w:type="spellEnd"/>
      <w:r>
        <w:rPr>
          <w:rFonts w:ascii="Arial" w:hAnsi="Arial" w:cs="Arial"/>
        </w:rPr>
        <w:t>, 11 EDR 296 (1972) (insufficient basis for discipline)</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Matter of Port</w:t>
      </w:r>
      <w:r>
        <w:rPr>
          <w:rFonts w:ascii="Arial" w:hAnsi="Arial" w:cs="Arial"/>
        </w:rPr>
        <w:t>, 9 EDR 107 (1970) (informal due process)</w:t>
      </w:r>
    </w:p>
    <w:p w:rsidR="005620AB" w:rsidRDefault="001D4B70" w:rsidP="009E2D9F">
      <w:pPr>
        <w:pStyle w:val="NormalWeb"/>
        <w:spacing w:before="0" w:beforeAutospacing="0" w:after="0" w:afterAutospacing="0"/>
        <w:rPr>
          <w:rFonts w:ascii="Arial" w:hAnsi="Arial" w:cs="Arial"/>
        </w:rPr>
      </w:pPr>
      <w:r>
        <w:rPr>
          <w:rFonts w:ascii="Arial" w:hAnsi="Arial" w:cs="Arial"/>
        </w:rPr>
        <w:t>2</w:t>
      </w:r>
      <w:r>
        <w:rPr>
          <w:rFonts w:ascii="Arial" w:hAnsi="Arial" w:cs="Arial"/>
          <w:u w:val="single"/>
        </w:rPr>
        <w:t>Ref</w:t>
      </w:r>
      <w:r>
        <w:rPr>
          <w:rFonts w:ascii="Arial" w:hAnsi="Arial" w:cs="Arial"/>
        </w:rPr>
        <w:t>:</w:t>
      </w:r>
    </w:p>
    <w:p w:rsidR="005620AB" w:rsidRDefault="009E2D9F" w:rsidP="009E2D9F">
      <w:pPr>
        <w:pStyle w:val="NormalWeb"/>
        <w:spacing w:before="0" w:beforeAutospacing="0" w:after="0" w:afterAutospacing="0"/>
        <w:ind w:left="600"/>
        <w:rPr>
          <w:rFonts w:ascii="Arial" w:hAnsi="Arial" w:cs="Arial"/>
        </w:rPr>
      </w:pPr>
      <w:hyperlink r:id="rId7" w:history="1">
        <w:r w:rsidR="001D4B70">
          <w:rPr>
            <w:rStyle w:val="Hyperlink"/>
            <w:rFonts w:ascii="Arial" w:hAnsi="Arial" w:cs="Arial"/>
          </w:rPr>
          <w:t>8 NYCRR §100.2</w:t>
        </w:r>
      </w:hyperlink>
      <w:r w:rsidR="001D4B70">
        <w:rPr>
          <w:rFonts w:ascii="Arial" w:hAnsi="Arial" w:cs="Arial"/>
        </w:rPr>
        <w:t>(l) (3)</w:t>
      </w:r>
    </w:p>
    <w:p w:rsidR="005620AB" w:rsidRDefault="001D4B70" w:rsidP="009E2D9F">
      <w:pPr>
        <w:pStyle w:val="NormalWeb"/>
        <w:spacing w:before="0" w:beforeAutospacing="0" w:after="0" w:afterAutospacing="0"/>
        <w:ind w:left="600"/>
        <w:rPr>
          <w:rFonts w:ascii="Arial" w:hAnsi="Arial" w:cs="Arial"/>
        </w:rPr>
      </w:pPr>
      <w:r>
        <w:rPr>
          <w:rFonts w:ascii="Arial" w:hAnsi="Arial" w:cs="Arial"/>
        </w:rPr>
        <w:t>Rules of the Board of Regents §19.5</w:t>
      </w:r>
    </w:p>
    <w:p w:rsidR="005620AB" w:rsidRDefault="001D4B70" w:rsidP="009E2D9F">
      <w:pPr>
        <w:pStyle w:val="NormalWeb"/>
        <w:spacing w:before="0" w:beforeAutospacing="0" w:after="0" w:afterAutospacing="0"/>
        <w:rPr>
          <w:rFonts w:ascii="Arial" w:hAnsi="Arial" w:cs="Arial"/>
        </w:rPr>
      </w:pPr>
      <w:r>
        <w:rPr>
          <w:rFonts w:ascii="Arial" w:hAnsi="Arial" w:cs="Arial"/>
        </w:rPr>
        <w:t>3</w:t>
      </w:r>
      <w:r>
        <w:rPr>
          <w:rFonts w:ascii="Arial" w:hAnsi="Arial" w:cs="Arial"/>
          <w:u w:val="single"/>
        </w:rPr>
        <w:t>Cross-ref</w:t>
      </w:r>
      <w:r>
        <w:rPr>
          <w:rFonts w:ascii="Arial" w:hAnsi="Arial" w:cs="Arial"/>
        </w:rPr>
        <w:t>:</w:t>
      </w:r>
    </w:p>
    <w:p w:rsidR="005620AB" w:rsidRDefault="001D4B70" w:rsidP="009E2D9F">
      <w:pPr>
        <w:pStyle w:val="NormalWeb"/>
        <w:spacing w:before="0" w:beforeAutospacing="0" w:after="0" w:afterAutospacing="0"/>
        <w:ind w:left="600"/>
        <w:rPr>
          <w:rFonts w:ascii="Arial" w:hAnsi="Arial" w:cs="Arial"/>
        </w:rPr>
      </w:pPr>
      <w:r>
        <w:rPr>
          <w:rFonts w:ascii="Arial" w:hAnsi="Arial" w:cs="Arial"/>
        </w:rPr>
        <w:t>5695, Students and Personal Electronic Devices</w:t>
      </w:r>
    </w:p>
    <w:p w:rsidR="005620AB" w:rsidRDefault="001D4B70" w:rsidP="009E2D9F">
      <w:pPr>
        <w:pStyle w:val="NormalWeb"/>
        <w:spacing w:before="0" w:beforeAutospacing="0" w:after="0" w:afterAutospacing="0"/>
        <w:rPr>
          <w:rFonts w:ascii="Arial" w:hAnsi="Arial" w:cs="Arial"/>
        </w:rPr>
      </w:pPr>
      <w:r>
        <w:rPr>
          <w:rFonts w:ascii="Arial" w:hAnsi="Arial" w:cs="Arial"/>
          <w:u w:val="single"/>
        </w:rPr>
        <w:t>Ref</w:t>
      </w:r>
      <w:r>
        <w:rPr>
          <w:rFonts w:ascii="Arial" w:hAnsi="Arial" w:cs="Arial"/>
        </w:rPr>
        <w:t>:</w:t>
      </w:r>
    </w:p>
    <w:p w:rsidR="005620AB" w:rsidRDefault="009E2D9F" w:rsidP="009E2D9F">
      <w:pPr>
        <w:pStyle w:val="NormalWeb"/>
        <w:spacing w:before="0" w:beforeAutospacing="0" w:after="0" w:afterAutospacing="0"/>
        <w:ind w:left="600"/>
        <w:rPr>
          <w:rFonts w:ascii="Arial" w:hAnsi="Arial" w:cs="Arial"/>
        </w:rPr>
      </w:pPr>
      <w:hyperlink r:id="rId8" w:history="1">
        <w:r w:rsidR="001D4B70">
          <w:rPr>
            <w:rStyle w:val="Hyperlink"/>
            <w:rFonts w:ascii="Arial" w:hAnsi="Arial" w:cs="Arial"/>
            <w:i/>
          </w:rPr>
          <w:t>Safford Unified School District #1 et al. v. Redding</w:t>
        </w:r>
      </w:hyperlink>
      <w:r w:rsidR="001D4B70">
        <w:rPr>
          <w:rFonts w:ascii="Arial" w:hAnsi="Arial" w:cs="Arial"/>
          <w:i/>
        </w:rPr>
        <w:t>, 129 S. Ct. 2633 (2009)</w:t>
      </w:r>
    </w:p>
    <w:p w:rsidR="005620AB" w:rsidRDefault="001D4B70" w:rsidP="009E2D9F">
      <w:pPr>
        <w:pStyle w:val="NormalWeb"/>
        <w:spacing w:before="0" w:beforeAutospacing="0" w:after="0" w:afterAutospacing="0"/>
        <w:ind w:left="600"/>
        <w:rPr>
          <w:rFonts w:ascii="Arial" w:hAnsi="Arial" w:cs="Arial"/>
        </w:rPr>
      </w:pPr>
      <w:proofErr w:type="spellStart"/>
      <w:r>
        <w:rPr>
          <w:rFonts w:ascii="Arial" w:hAnsi="Arial" w:cs="Arial"/>
          <w:i/>
        </w:rPr>
        <w:t>Vassallo</w:t>
      </w:r>
      <w:proofErr w:type="spellEnd"/>
      <w:r>
        <w:rPr>
          <w:rFonts w:ascii="Arial" w:hAnsi="Arial" w:cs="Arial"/>
          <w:i/>
        </w:rPr>
        <w:t xml:space="preserve"> v. </w:t>
      </w:r>
      <w:proofErr w:type="spellStart"/>
      <w:r>
        <w:rPr>
          <w:rFonts w:ascii="Arial" w:hAnsi="Arial" w:cs="Arial"/>
          <w:i/>
        </w:rPr>
        <w:t>Lando</w:t>
      </w:r>
      <w:proofErr w:type="spellEnd"/>
      <w:r>
        <w:rPr>
          <w:rFonts w:ascii="Arial" w:hAnsi="Arial" w:cs="Arial"/>
        </w:rPr>
        <w:t>, 591 F.Supp.2d 172 (E.D.N.Y. (2008)</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 xml:space="preserve">Phaneuf v. </w:t>
      </w:r>
      <w:proofErr w:type="spellStart"/>
      <w:r>
        <w:rPr>
          <w:rFonts w:ascii="Arial" w:hAnsi="Arial" w:cs="Arial"/>
          <w:i/>
        </w:rPr>
        <w:t>Fraikin</w:t>
      </w:r>
      <w:proofErr w:type="spellEnd"/>
      <w:r>
        <w:rPr>
          <w:rFonts w:ascii="Arial" w:hAnsi="Arial" w:cs="Arial"/>
        </w:rPr>
        <w:t xml:space="preserve"> 448 F.3rd 591 (2006</w:t>
      </w:r>
      <w:r>
        <w:rPr>
          <w:rFonts w:ascii="Arial" w:hAnsi="Arial" w:cs="Arial"/>
          <w:i/>
        </w:rPr>
        <w:t>)</w:t>
      </w:r>
    </w:p>
    <w:p w:rsidR="005620AB" w:rsidRDefault="009E2D9F" w:rsidP="009E2D9F">
      <w:pPr>
        <w:pStyle w:val="NormalWeb"/>
        <w:spacing w:before="0" w:beforeAutospacing="0" w:after="0" w:afterAutospacing="0"/>
        <w:ind w:left="600"/>
        <w:rPr>
          <w:rFonts w:ascii="Arial" w:hAnsi="Arial" w:cs="Arial"/>
        </w:rPr>
      </w:pPr>
      <w:hyperlink r:id="rId9" w:history="1">
        <w:r w:rsidR="001D4B70">
          <w:rPr>
            <w:rStyle w:val="Hyperlink"/>
            <w:rFonts w:ascii="Arial" w:hAnsi="Arial" w:cs="Arial"/>
            <w:i/>
          </w:rPr>
          <w:t>New Jersey v. TLO</w:t>
        </w:r>
      </w:hyperlink>
      <w:r w:rsidR="001D4B70">
        <w:rPr>
          <w:rFonts w:ascii="Arial" w:hAnsi="Arial" w:cs="Arial"/>
          <w:i/>
        </w:rPr>
        <w:t>,</w:t>
      </w:r>
      <w:r w:rsidR="001D4B70">
        <w:rPr>
          <w:rFonts w:ascii="Arial" w:hAnsi="Arial" w:cs="Arial"/>
        </w:rPr>
        <w:t xml:space="preserve"> 469 U.S. 325 (1985)</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In re Gregory,</w:t>
      </w:r>
      <w:r>
        <w:rPr>
          <w:rFonts w:ascii="Arial" w:hAnsi="Arial" w:cs="Arial"/>
        </w:rPr>
        <w:t xml:space="preserve"> 82 N.Y.2d 588 (1993)</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People v. Scott D.,</w:t>
      </w:r>
      <w:r>
        <w:rPr>
          <w:rFonts w:ascii="Arial" w:hAnsi="Arial" w:cs="Arial"/>
        </w:rPr>
        <w:t xml:space="preserve"> 34 N.Y.2d 483 (1974)</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People v. Singletary,</w:t>
      </w:r>
      <w:r>
        <w:rPr>
          <w:rFonts w:ascii="Arial" w:hAnsi="Arial" w:cs="Arial"/>
        </w:rPr>
        <w:t xml:space="preserve"> 37 N.Y.2d 310 (1975))</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People v. Overton,</w:t>
      </w:r>
      <w:r>
        <w:rPr>
          <w:rFonts w:ascii="Arial" w:hAnsi="Arial" w:cs="Arial"/>
        </w:rPr>
        <w:t xml:space="preserve"> 20 N.Y.2d 360 (1969)</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M.M. v. Anker,</w:t>
      </w:r>
      <w:r>
        <w:rPr>
          <w:rFonts w:ascii="Arial" w:hAnsi="Arial" w:cs="Arial"/>
        </w:rPr>
        <w:t xml:space="preserve"> 607 F.2d 588 (2d Cir. 1979)</w:t>
      </w:r>
    </w:p>
    <w:p w:rsidR="005620AB" w:rsidRDefault="001D4B70" w:rsidP="009E2D9F">
      <w:pPr>
        <w:pStyle w:val="NormalWeb"/>
        <w:spacing w:before="0" w:beforeAutospacing="0" w:after="0" w:afterAutospacing="0"/>
        <w:ind w:left="600"/>
        <w:rPr>
          <w:rFonts w:ascii="Arial" w:hAnsi="Arial" w:cs="Arial"/>
        </w:rPr>
      </w:pPr>
      <w:r>
        <w:rPr>
          <w:rFonts w:ascii="Arial" w:hAnsi="Arial" w:cs="Arial"/>
          <w:i/>
        </w:rPr>
        <w:t>Opinion of Counsel,</w:t>
      </w:r>
      <w:r>
        <w:rPr>
          <w:rFonts w:ascii="Arial" w:hAnsi="Arial" w:cs="Arial"/>
        </w:rPr>
        <w:t xml:space="preserve"> 1 EDR 800 (1959)</w:t>
      </w:r>
    </w:p>
    <w:p w:rsidR="005620AB" w:rsidRDefault="001D4B70" w:rsidP="009E2D9F">
      <w:pPr>
        <w:pStyle w:val="NormalWeb"/>
        <w:spacing w:before="0" w:beforeAutospacing="0" w:after="0" w:afterAutospacing="0"/>
        <w:rPr>
          <w:rFonts w:ascii="Arial" w:hAnsi="Arial" w:cs="Arial"/>
        </w:rPr>
      </w:pPr>
      <w:r>
        <w:rPr>
          <w:rFonts w:ascii="Arial" w:hAnsi="Arial" w:cs="Arial"/>
        </w:rPr>
        <w:t>4</w:t>
      </w:r>
      <w:r>
        <w:rPr>
          <w:rFonts w:ascii="Arial" w:hAnsi="Arial" w:cs="Arial"/>
          <w:u w:val="single"/>
        </w:rPr>
        <w:t>Ref</w:t>
      </w:r>
      <w:r>
        <w:rPr>
          <w:rFonts w:ascii="Arial" w:hAnsi="Arial" w:cs="Arial"/>
        </w:rPr>
        <w:t>:</w:t>
      </w:r>
    </w:p>
    <w:p w:rsidR="005620AB" w:rsidRDefault="009E2D9F" w:rsidP="009E2D9F">
      <w:pPr>
        <w:pStyle w:val="NormalWeb"/>
        <w:spacing w:before="0" w:beforeAutospacing="0" w:after="0" w:afterAutospacing="0"/>
        <w:ind w:left="600"/>
        <w:rPr>
          <w:rFonts w:ascii="Arial" w:hAnsi="Arial" w:cs="Arial"/>
        </w:rPr>
      </w:pPr>
      <w:hyperlink r:id="rId10" w:history="1">
        <w:r w:rsidR="001D4B70">
          <w:rPr>
            <w:rStyle w:val="Hyperlink"/>
            <w:rFonts w:ascii="Arial" w:hAnsi="Arial" w:cs="Arial"/>
          </w:rPr>
          <w:t>Education Law §§1708</w:t>
        </w:r>
      </w:hyperlink>
      <w:r w:rsidR="001D4B70">
        <w:rPr>
          <w:rFonts w:ascii="Arial" w:hAnsi="Arial" w:cs="Arial"/>
        </w:rPr>
        <w:t xml:space="preserve">; </w:t>
      </w:r>
      <w:hyperlink r:id="rId11" w:history="1">
        <w:r w:rsidR="001D4B70">
          <w:rPr>
            <w:rStyle w:val="Hyperlink"/>
            <w:rFonts w:ascii="Arial" w:hAnsi="Arial" w:cs="Arial"/>
          </w:rPr>
          <w:t>2801</w:t>
        </w:r>
      </w:hyperlink>
    </w:p>
    <w:p w:rsidR="009E2D9F" w:rsidRDefault="009E2D9F" w:rsidP="009E2D9F">
      <w:pPr>
        <w:pStyle w:val="NormalWeb"/>
        <w:spacing w:before="0" w:beforeAutospacing="0" w:after="0" w:afterAutospacing="0"/>
        <w:rPr>
          <w:rFonts w:ascii="Arial" w:hAnsi="Arial" w:cs="Arial"/>
        </w:rPr>
      </w:pPr>
    </w:p>
    <w:p w:rsidR="009E2D9F" w:rsidRDefault="009E2D9F" w:rsidP="009E2D9F">
      <w:pPr>
        <w:pStyle w:val="NormalWeb"/>
        <w:spacing w:before="0" w:beforeAutospacing="0" w:after="0" w:afterAutospacing="0"/>
        <w:rPr>
          <w:rFonts w:ascii="Arial" w:hAnsi="Arial" w:cs="Arial"/>
        </w:rPr>
      </w:pPr>
    </w:p>
    <w:p w:rsidR="005620AB" w:rsidRDefault="001D4B70" w:rsidP="009E2D9F">
      <w:pPr>
        <w:pStyle w:val="NormalWeb"/>
        <w:spacing w:before="0" w:beforeAutospacing="0" w:after="0" w:afterAutospacing="0"/>
        <w:rPr>
          <w:rFonts w:ascii="Arial" w:hAnsi="Arial" w:cs="Arial"/>
        </w:rPr>
      </w:pPr>
      <w:bookmarkStart w:id="0" w:name="_GoBack"/>
      <w:bookmarkEnd w:id="0"/>
      <w:r>
        <w:rPr>
          <w:rFonts w:ascii="Arial" w:hAnsi="Arial" w:cs="Arial"/>
        </w:rPr>
        <w:t>Adoption date: 08/08/2019</w:t>
      </w:r>
    </w:p>
    <w:p w:rsidR="005620AB" w:rsidRDefault="001D4B70" w:rsidP="009E2D9F">
      <w:pPr>
        <w:pStyle w:val="NormalWeb"/>
        <w:spacing w:before="0" w:beforeAutospacing="0" w:after="0" w:afterAutospacing="0"/>
        <w:rPr>
          <w:rFonts w:ascii="Arial" w:hAnsi="Arial" w:cs="Arial"/>
        </w:rPr>
      </w:pPr>
      <w:r>
        <w:rPr>
          <w:rFonts w:ascii="Arial" w:hAnsi="Arial" w:cs="Arial"/>
        </w:rPr>
        <w:t>Revised: 08/12/2020</w:t>
      </w:r>
    </w:p>
    <w:p w:rsidR="005620AB" w:rsidRDefault="001D4B70" w:rsidP="009E2D9F">
      <w:pPr>
        <w:pStyle w:val="NormalWeb"/>
        <w:spacing w:before="0" w:beforeAutospacing="0" w:after="0" w:afterAutospacing="0"/>
        <w:rPr>
          <w:rFonts w:ascii="Arial" w:hAnsi="Arial" w:cs="Arial"/>
        </w:rPr>
      </w:pPr>
      <w:r>
        <w:rPr>
          <w:rFonts w:ascii="Arial" w:hAnsi="Arial" w:cs="Arial"/>
        </w:rPr>
        <w:t>Revised: 08/04/2021</w:t>
      </w:r>
    </w:p>
    <w:p w:rsidR="005620AB" w:rsidRDefault="001D4B70">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5620AB" w:rsidSect="009E2D9F">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F64C2"/>
    <w:multiLevelType w:val="hybridMultilevel"/>
    <w:tmpl w:val="7DAE088E"/>
    <w:lvl w:ilvl="0" w:tplc="A4FE47CE">
      <w:start w:val="1"/>
      <w:numFmt w:val="decimal"/>
      <w:lvlText w:val="%1."/>
      <w:lvlJc w:val="left"/>
      <w:pPr>
        <w:ind w:left="720" w:hanging="360"/>
      </w:pPr>
    </w:lvl>
    <w:lvl w:ilvl="1" w:tplc="09102798">
      <w:start w:val="1"/>
      <w:numFmt w:val="decimal"/>
      <w:lvlText w:val="%2."/>
      <w:lvlJc w:val="left"/>
      <w:pPr>
        <w:ind w:left="1080" w:hanging="360"/>
      </w:pPr>
    </w:lvl>
    <w:lvl w:ilvl="2" w:tplc="3C26074E">
      <w:start w:val="1"/>
      <w:numFmt w:val="decimal"/>
      <w:lvlText w:val="%3."/>
      <w:lvlJc w:val="left"/>
      <w:pPr>
        <w:ind w:left="1440" w:hanging="360"/>
      </w:pPr>
    </w:lvl>
    <w:lvl w:ilvl="3" w:tplc="ADB455C0">
      <w:start w:val="1"/>
      <w:numFmt w:val="decimal"/>
      <w:lvlText w:val="%4."/>
      <w:lvlJc w:val="left"/>
      <w:pPr>
        <w:ind w:left="1800" w:hanging="360"/>
      </w:pPr>
    </w:lvl>
    <w:lvl w:ilvl="4" w:tplc="23967366">
      <w:start w:val="1"/>
      <w:numFmt w:val="decimal"/>
      <w:lvlText w:val="%5."/>
      <w:lvlJc w:val="left"/>
      <w:pPr>
        <w:ind w:left="2160" w:hanging="360"/>
      </w:pPr>
    </w:lvl>
    <w:lvl w:ilvl="5" w:tplc="AAB22136">
      <w:start w:val="1"/>
      <w:numFmt w:val="decimal"/>
      <w:lvlText w:val="%6."/>
      <w:lvlJc w:val="left"/>
      <w:pPr>
        <w:ind w:left="2520" w:hanging="360"/>
      </w:pPr>
    </w:lvl>
    <w:lvl w:ilvl="6" w:tplc="8C481674">
      <w:start w:val="1"/>
      <w:numFmt w:val="decimal"/>
      <w:lvlText w:val="%7."/>
      <w:lvlJc w:val="left"/>
      <w:pPr>
        <w:ind w:left="2880" w:hanging="360"/>
      </w:pPr>
    </w:lvl>
    <w:lvl w:ilvl="7" w:tplc="B316C488">
      <w:start w:val="1"/>
      <w:numFmt w:val="decimal"/>
      <w:lvlText w:val="%8."/>
      <w:lvlJc w:val="left"/>
      <w:pPr>
        <w:ind w:left="3240" w:hanging="360"/>
      </w:pPr>
    </w:lvl>
    <w:lvl w:ilvl="8" w:tplc="2D660176">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AB"/>
    <w:rsid w:val="001D4B70"/>
    <w:rsid w:val="005620AB"/>
    <w:rsid w:val="009E2D9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0112"/>
  <w15:docId w15:val="{AFBFDD44-0AAE-4D12-965E-6DEFF1C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9E2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edirector.microscribepub.com/?cat=case&amp;loc=us&amp;id=160&a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director.microscribepub.com/?cat=reg&amp;loc=ny&amp;id=8&amp;spec=10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director.microscribepub.com/?cat=reg&amp;loc=ny&amp;id=8&amp;spec=100.2" TargetMode="External"/><Relationship Id="rId11" Type="http://schemas.openxmlformats.org/officeDocument/2006/relationships/hyperlink" Target="http://redirector.microscribepub.com/?cat=code&amp;loc=ny&amp;id=edn&amp;spec=2801" TargetMode="External"/><Relationship Id="rId5" Type="http://schemas.openxmlformats.org/officeDocument/2006/relationships/hyperlink" Target="http://redirector.microscribepub.com/?cat=code&amp;loc=ny&amp;id=edn&amp;spec=3214" TargetMode="External"/><Relationship Id="rId10" Type="http://schemas.openxmlformats.org/officeDocument/2006/relationships/hyperlink" Target="http://redirector.microscribepub.com/?cat=code&amp;loc=ny&amp;id=edn&amp;spec=1708" TargetMode="External"/><Relationship Id="rId4" Type="http://schemas.openxmlformats.org/officeDocument/2006/relationships/webSettings" Target="webSettings.xml"/><Relationship Id="rId9" Type="http://schemas.openxmlformats.org/officeDocument/2006/relationships/hyperlink" Target="http://redirector.microscribepub.com/?cat=case&amp;loc=us&amp;id=103&amp;"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5300.75 DISSEMINATION AND REVIEW</vt:lpstr>
    </vt:vector>
  </TitlesOfParts>
  <Company>GVWFL</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5300.75 DISSEMINATION AND REVIEW</dc:title>
  <dc:creator>Monica Kuney</dc:creator>
  <cp:lastModifiedBy>Monica Kuney</cp:lastModifiedBy>
  <cp:revision>3</cp:revision>
  <cp:lastPrinted>2024-08-13T21:08:00Z</cp:lastPrinted>
  <dcterms:created xsi:type="dcterms:W3CDTF">2024-07-15T18:17:00Z</dcterms:created>
  <dcterms:modified xsi:type="dcterms:W3CDTF">2024-08-13T21:08:00Z</dcterms:modified>
</cp:coreProperties>
</file>