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70FC2" w14:textId="77777777" w:rsidR="0099187C" w:rsidRDefault="0099187C">
      <w:pPr>
        <w:widowControl w:val="0"/>
        <w:jc w:val="both"/>
      </w:pPr>
      <w:r>
        <w:fldChar w:fldCharType="begin"/>
      </w:r>
      <w:r>
        <w:instrText xml:space="preserve"> SEQ CHAPTER \h \r 1</w:instrText>
      </w:r>
      <w:r>
        <w:fldChar w:fldCharType="end"/>
      </w:r>
    </w:p>
    <w:p w14:paraId="7AC47604" w14:textId="77777777" w:rsidR="0099187C" w:rsidRDefault="0099187C" w:rsidP="00366221">
      <w:pPr>
        <w:widowControl w:val="0"/>
        <w:jc w:val="both"/>
      </w:pPr>
    </w:p>
    <w:p w14:paraId="5DF070E9" w14:textId="77777777" w:rsidR="00366221" w:rsidRDefault="00366221" w:rsidP="00366221">
      <w:pPr>
        <w:widowControl w:val="0"/>
        <w:jc w:val="both"/>
      </w:pPr>
      <w:r>
        <w:rPr>
          <w:u w:val="single"/>
        </w:rPr>
        <w:t>Bylaws of the Board - Bylaws, Policies and Regulations</w:t>
      </w:r>
    </w:p>
    <w:p w14:paraId="6C28856A" w14:textId="77777777" w:rsidR="00366221" w:rsidRDefault="00366221" w:rsidP="00366221">
      <w:pPr>
        <w:widowControl w:val="0"/>
        <w:jc w:val="both"/>
      </w:pPr>
    </w:p>
    <w:p w14:paraId="69932D7D" w14:textId="77777777" w:rsidR="00366221" w:rsidRDefault="00366221" w:rsidP="00366221">
      <w:pPr>
        <w:widowControl w:val="0"/>
        <w:jc w:val="both"/>
      </w:pPr>
      <w:r>
        <w:rPr>
          <w:u w:val="single"/>
        </w:rPr>
        <w:t>Formulation, Adoption, Amendment of Policies</w:t>
      </w:r>
    </w:p>
    <w:p w14:paraId="4E450986" w14:textId="77777777" w:rsidR="00366221" w:rsidRDefault="00366221" w:rsidP="00366221">
      <w:pPr>
        <w:widowControl w:val="0"/>
        <w:jc w:val="both"/>
      </w:pPr>
    </w:p>
    <w:p w14:paraId="498B2FD9" w14:textId="77777777" w:rsidR="00366221" w:rsidRDefault="00366221" w:rsidP="00366221">
      <w:pPr>
        <w:widowControl w:val="0"/>
        <w:jc w:val="both"/>
      </w:pPr>
      <w:r>
        <w:t>Policy proposals and suggested amendments to or revisions of existing policies shall normally be submitted to all members of the Board of Education by the superintendent in writing prior to a regularly scheduled Board of education meeting in which such proposed policies, amendments, or revisions thereof shall be read and discussed.</w:t>
      </w:r>
    </w:p>
    <w:p w14:paraId="7BB76D52" w14:textId="77777777" w:rsidR="00366221" w:rsidRDefault="00366221" w:rsidP="00366221">
      <w:pPr>
        <w:widowControl w:val="0"/>
        <w:jc w:val="both"/>
      </w:pPr>
    </w:p>
    <w:p w14:paraId="46E9ECA8" w14:textId="77777777" w:rsidR="00366221" w:rsidRDefault="00366221" w:rsidP="00366221">
      <w:pPr>
        <w:widowControl w:val="0"/>
        <w:jc w:val="both"/>
      </w:pPr>
      <w:r>
        <w:t>Policies will be adopted or amended after consideration at two (2) meetings of the Board of education.  The agenda and minutes shall be marked to indicate policy matters.</w:t>
      </w:r>
    </w:p>
    <w:p w14:paraId="1728CB44" w14:textId="77777777" w:rsidR="00366221" w:rsidRDefault="00366221" w:rsidP="00366221">
      <w:pPr>
        <w:widowControl w:val="0"/>
        <w:jc w:val="both"/>
      </w:pPr>
    </w:p>
    <w:p w14:paraId="130AA834" w14:textId="77777777" w:rsidR="00366221" w:rsidRDefault="00366221" w:rsidP="00366221">
      <w:pPr>
        <w:widowControl w:val="0"/>
        <w:jc w:val="both"/>
      </w:pPr>
      <w:r>
        <w:t>The formal adoption of policies shall be by majority vote of all members of the Board of education and the actions shall be recorded in the minutes of the Board of education.  Only those written statements so adopted and so recorded shall be regarded as official policy.</w:t>
      </w:r>
    </w:p>
    <w:p w14:paraId="1AE384B8" w14:textId="77777777" w:rsidR="00366221" w:rsidRDefault="00366221" w:rsidP="00366221">
      <w:pPr>
        <w:widowControl w:val="0"/>
        <w:jc w:val="both"/>
      </w:pPr>
    </w:p>
    <w:p w14:paraId="256758AB" w14:textId="77777777" w:rsidR="00366221" w:rsidRDefault="00366221" w:rsidP="00366221">
      <w:pPr>
        <w:widowControl w:val="0"/>
        <w:jc w:val="both"/>
      </w:pPr>
      <w:r>
        <w:t>Policies shall be reviewed annually or at such other periodic time periods as may be required by law.</w:t>
      </w:r>
    </w:p>
    <w:p w14:paraId="08C15916" w14:textId="77777777" w:rsidR="00366221" w:rsidRDefault="00366221" w:rsidP="00366221">
      <w:pPr>
        <w:widowControl w:val="0"/>
        <w:jc w:val="both"/>
      </w:pPr>
    </w:p>
    <w:p w14:paraId="7C8366F9" w14:textId="77777777" w:rsidR="00366221" w:rsidRDefault="00366221" w:rsidP="00366221">
      <w:pPr>
        <w:widowControl w:val="0"/>
        <w:jc w:val="both"/>
      </w:pPr>
      <w:r>
        <w:t>Reference:</w:t>
      </w:r>
      <w:r>
        <w:tab/>
      </w:r>
      <w:r>
        <w:rPr>
          <w:u w:val="single"/>
        </w:rPr>
        <w:t>Robert's Rules of Order</w:t>
      </w:r>
    </w:p>
    <w:p w14:paraId="58125152" w14:textId="77777777" w:rsidR="00366221" w:rsidRDefault="00366221" w:rsidP="00366221">
      <w:pPr>
        <w:widowControl w:val="0"/>
        <w:jc w:val="both"/>
      </w:pPr>
    </w:p>
    <w:p w14:paraId="51C6A229" w14:textId="77777777" w:rsidR="00366221" w:rsidRPr="00F22011" w:rsidRDefault="00366221" w:rsidP="00366221">
      <w:pPr>
        <w:widowControl w:val="0"/>
        <w:spacing w:line="0" w:lineRule="atLeast"/>
        <w:jc w:val="both"/>
      </w:pPr>
      <w:r>
        <w:t>Date of Adoption: June 13, 2005</w:t>
      </w:r>
    </w:p>
    <w:p w14:paraId="4C47E3E6" w14:textId="77777777" w:rsidR="00366221" w:rsidRDefault="00366221" w:rsidP="00366221">
      <w:pPr>
        <w:widowControl w:val="0"/>
        <w:spacing w:line="0" w:lineRule="atLeast"/>
        <w:jc w:val="both"/>
      </w:pPr>
      <w:r>
        <w:t>Reviewed: Aug. 11, 2008, Aug. 10, 2009, Sep</w:t>
      </w:r>
      <w:r w:rsidR="00B8474C">
        <w:t>t</w:t>
      </w:r>
      <w:r>
        <w:t>. 3, 2010, Sep</w:t>
      </w:r>
      <w:r w:rsidR="00B8474C">
        <w:t>t</w:t>
      </w:r>
      <w:r>
        <w:t>. 12, 2011</w:t>
      </w:r>
      <w:r w:rsidR="001E3139">
        <w:t>, June 10, 2013</w:t>
      </w:r>
      <w:r w:rsidR="002A40E7">
        <w:t>,</w:t>
      </w:r>
    </w:p>
    <w:p w14:paraId="7CFEC2B2" w14:textId="77777777" w:rsidR="002A40E7" w:rsidRDefault="002A40E7" w:rsidP="00366221">
      <w:pPr>
        <w:widowControl w:val="0"/>
        <w:spacing w:line="0" w:lineRule="atLeast"/>
        <w:jc w:val="both"/>
      </w:pPr>
      <w:r>
        <w:t>June 10, 2014</w:t>
      </w:r>
      <w:r w:rsidR="00B8474C">
        <w:t>, June 8, 2015</w:t>
      </w:r>
      <w:r w:rsidR="00866643">
        <w:t>, June 6, 2016</w:t>
      </w:r>
      <w:r w:rsidR="00AA0C11">
        <w:t>, June 12, 2017</w:t>
      </w:r>
      <w:r w:rsidR="009C2843">
        <w:t>, June 25, 2018</w:t>
      </w:r>
      <w:r w:rsidR="00B8771A">
        <w:t>, July 8, 2019</w:t>
      </w:r>
      <w:r w:rsidR="00396D1F">
        <w:t>,</w:t>
      </w:r>
    </w:p>
    <w:p w14:paraId="569C032C" w14:textId="4F27F3A1" w:rsidR="00BE7764" w:rsidRPr="00942D9B" w:rsidRDefault="00396D1F" w:rsidP="00BE7764">
      <w:pPr>
        <w:widowControl w:val="0"/>
        <w:spacing w:line="0" w:lineRule="atLeast"/>
        <w:rPr>
          <w:u w:val="single"/>
        </w:rPr>
      </w:pPr>
      <w:r>
        <w:t>July 13, 2020</w:t>
      </w:r>
      <w:r w:rsidR="003375C3">
        <w:t>, July 12, 2021</w:t>
      </w:r>
      <w:r w:rsidR="00B37243">
        <w:t>, July 11, 2022</w:t>
      </w:r>
      <w:r w:rsidR="004F7112">
        <w:t>, June 12, 2023</w:t>
      </w:r>
      <w:r w:rsidR="00BE7764">
        <w:t>, July 15, 2024</w:t>
      </w:r>
      <w:r w:rsidR="005242AF">
        <w:t>, July 14, 2025</w:t>
      </w:r>
    </w:p>
    <w:p w14:paraId="54802631" w14:textId="3A32836E" w:rsidR="00396D1F" w:rsidRPr="007E19FF" w:rsidRDefault="00396D1F" w:rsidP="00366221">
      <w:pPr>
        <w:widowControl w:val="0"/>
        <w:spacing w:line="0" w:lineRule="atLeast"/>
        <w:jc w:val="both"/>
      </w:pPr>
    </w:p>
    <w:sectPr w:rsidR="00396D1F" w:rsidRPr="007E19FF">
      <w:headerReference w:type="even" r:id="rId6"/>
      <w:headerReference w:type="default" r:id="rId7"/>
      <w:footerReference w:type="even" r:id="rId8"/>
      <w:footerReference w:type="default" r:id="rId9"/>
      <w:footnotePr>
        <w:numFmt w:val="lowerLetter"/>
      </w:footnotePr>
      <w:endnotePr>
        <w:numFmt w:val="lowerLetter"/>
      </w:endnotePr>
      <w:pgSz w:w="12240" w:h="15840"/>
      <w:pgMar w:top="1200" w:right="1440" w:bottom="12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917F7" w14:textId="77777777" w:rsidR="00486E0E" w:rsidRDefault="00486E0E">
      <w:r>
        <w:separator/>
      </w:r>
    </w:p>
  </w:endnote>
  <w:endnote w:type="continuationSeparator" w:id="0">
    <w:p w14:paraId="6B6EFB22" w14:textId="77777777" w:rsidR="00486E0E" w:rsidRDefault="00486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2A9DD" w14:textId="77777777" w:rsidR="00366221" w:rsidRDefault="00366221">
    <w:pPr>
      <w:framePr w:w="9360" w:h="280" w:hRule="exact" w:wrap="notBeside" w:vAnchor="page" w:hAnchor="text" w:y="14832"/>
      <w:widowControl w:val="0"/>
      <w:spacing w:line="0" w:lineRule="atLeast"/>
      <w:jc w:val="center"/>
      <w:rPr>
        <w:vanish/>
      </w:rPr>
    </w:pPr>
    <w:r>
      <w:t xml:space="preserve">Page </w:t>
    </w:r>
    <w:r>
      <w:pgNum/>
    </w:r>
    <w:r>
      <w:t xml:space="preserve"> of  </w:t>
    </w:r>
    <w:fldSimple w:instr=" NUMPAGES \* arabic \* MERGEFORMAT ">
      <w:r w:rsidR="001E3139">
        <w:rPr>
          <w:noProof/>
        </w:rPr>
        <w:t>1</w:t>
      </w:r>
    </w:fldSimple>
  </w:p>
  <w:p w14:paraId="564B5182" w14:textId="77777777" w:rsidR="00366221" w:rsidRDefault="00366221">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F2DF3" w14:textId="77777777" w:rsidR="00366221" w:rsidRDefault="00366221">
    <w:pPr>
      <w:framePr w:w="9360" w:h="280" w:hRule="exact" w:wrap="notBeside" w:vAnchor="page" w:hAnchor="text" w:y="14832"/>
      <w:widowControl w:val="0"/>
      <w:jc w:val="center"/>
      <w:rPr>
        <w:vanish/>
      </w:rPr>
    </w:pPr>
    <w:r>
      <w:t xml:space="preserve">Page </w:t>
    </w:r>
    <w:r>
      <w:pgNum/>
    </w:r>
    <w:r>
      <w:t xml:space="preserve"> of  </w:t>
    </w:r>
    <w:fldSimple w:instr=" NUMPAGES \* arabic \* MERGEFORMAT ">
      <w:r w:rsidR="00B37243">
        <w:rPr>
          <w:noProof/>
        </w:rPr>
        <w:t>1</w:t>
      </w:r>
    </w:fldSimple>
  </w:p>
  <w:p w14:paraId="28927DCC" w14:textId="77777777" w:rsidR="00366221" w:rsidRDefault="00366221">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4EC73" w14:textId="77777777" w:rsidR="00486E0E" w:rsidRDefault="00486E0E">
      <w:r>
        <w:separator/>
      </w:r>
    </w:p>
  </w:footnote>
  <w:footnote w:type="continuationSeparator" w:id="0">
    <w:p w14:paraId="0078DF24" w14:textId="77777777" w:rsidR="00486E0E" w:rsidRDefault="00486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4EECD" w14:textId="77777777" w:rsidR="00366221" w:rsidRDefault="00366221">
    <w:pPr>
      <w:widowControl w:val="0"/>
      <w:tabs>
        <w:tab w:val="center" w:pos="4680"/>
        <w:tab w:val="right" w:pos="9360"/>
      </w:tabs>
    </w:pPr>
    <w:r>
      <w:t>Article 9</w:t>
    </w:r>
    <w:r>
      <w:tab/>
    </w:r>
    <w:r>
      <w:rPr>
        <w:b/>
      </w:rPr>
      <w:t>BYLAWS OF THE BOARD</w:t>
    </w:r>
    <w:r>
      <w:tab/>
      <w:t>Policy No. 9200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6EF94" w14:textId="77777777" w:rsidR="00366221" w:rsidRDefault="00366221">
    <w:pPr>
      <w:widowControl w:val="0"/>
      <w:tabs>
        <w:tab w:val="center" w:pos="4680"/>
        <w:tab w:val="right" w:pos="9360"/>
      </w:tabs>
    </w:pPr>
    <w:r>
      <w:t>Article 9</w:t>
    </w:r>
    <w:r>
      <w:tab/>
    </w:r>
    <w:r>
      <w:rPr>
        <w:b/>
      </w:rPr>
      <w:t>BYLAWS OF THE BOARD</w:t>
    </w:r>
    <w:r>
      <w:tab/>
      <w:t>Policy No. 9200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80A"/>
    <w:rsid w:val="001E3139"/>
    <w:rsid w:val="002A40E7"/>
    <w:rsid w:val="003375C3"/>
    <w:rsid w:val="00366221"/>
    <w:rsid w:val="00396D1F"/>
    <w:rsid w:val="00486E0E"/>
    <w:rsid w:val="004F7112"/>
    <w:rsid w:val="0050380E"/>
    <w:rsid w:val="005242AF"/>
    <w:rsid w:val="005C1B46"/>
    <w:rsid w:val="005D680A"/>
    <w:rsid w:val="00656F7E"/>
    <w:rsid w:val="00866643"/>
    <w:rsid w:val="0099187C"/>
    <w:rsid w:val="009C2843"/>
    <w:rsid w:val="009C479C"/>
    <w:rsid w:val="00AA0C11"/>
    <w:rsid w:val="00B37243"/>
    <w:rsid w:val="00B8474C"/>
    <w:rsid w:val="00B8771A"/>
    <w:rsid w:val="00BE7764"/>
    <w:rsid w:val="00C21D1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6D5DFDF3"/>
  <w14:defaultImageDpi w14:val="300"/>
  <w15:docId w15:val="{F7336DA5-1927-8248-B799-86826CED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3139"/>
    <w:rPr>
      <w:rFonts w:ascii="Lucida Grande" w:hAnsi="Lucida Grande" w:cs="Lucida Grande"/>
      <w:sz w:val="18"/>
      <w:szCs w:val="18"/>
    </w:rPr>
  </w:style>
  <w:style w:type="character" w:customStyle="1" w:styleId="BalloonTextChar">
    <w:name w:val="Balloon Text Char"/>
    <w:link w:val="BalloonText"/>
    <w:uiPriority w:val="99"/>
    <w:semiHidden/>
    <w:rsid w:val="001E313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199</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Perry Law Firm</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Schuelke</dc:creator>
  <cp:keywords/>
  <cp:lastModifiedBy>Morlan, Emily (eemorlan)</cp:lastModifiedBy>
  <cp:revision>4</cp:revision>
  <cp:lastPrinted>2013-07-19T20:23:00Z</cp:lastPrinted>
  <dcterms:created xsi:type="dcterms:W3CDTF">2023-06-30T16:39:00Z</dcterms:created>
  <dcterms:modified xsi:type="dcterms:W3CDTF">2025-06-25T14:41:00Z</dcterms:modified>
</cp:coreProperties>
</file>