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581085"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581085" w:rsidRPr="002C4503" w:rsidRDefault="00581085" w:rsidP="002E48A9">
            <w:pPr>
              <w:spacing w:line="259" w:lineRule="auto"/>
              <w:rPr>
                <w:sz w:val="18"/>
              </w:rPr>
            </w:pPr>
            <w:r>
              <w:rPr>
                <w:sz w:val="18"/>
              </w:rPr>
              <w:t xml:space="preserve">E – </w:t>
            </w:r>
            <w:r w:rsidR="001D6C2F">
              <w:rPr>
                <w:sz w:val="18"/>
              </w:rPr>
              <w:t>Instructional Resources</w:t>
            </w:r>
          </w:p>
        </w:tc>
        <w:tc>
          <w:tcPr>
            <w:tcW w:w="990" w:type="dxa"/>
            <w:tcBorders>
              <w:top w:val="single" w:sz="4" w:space="0" w:color="000000"/>
              <w:left w:val="single" w:sz="4" w:space="0" w:color="000000"/>
              <w:bottom w:val="single" w:sz="4" w:space="0" w:color="000000"/>
              <w:right w:val="single" w:sz="4" w:space="0" w:color="000000"/>
            </w:tcBorders>
          </w:tcPr>
          <w:p w:rsidR="00581085" w:rsidRPr="00123FA9" w:rsidRDefault="00581085" w:rsidP="002E48A9">
            <w:pPr>
              <w:spacing w:line="259" w:lineRule="auto"/>
            </w:pPr>
            <w:r>
              <w:t>E</w:t>
            </w:r>
            <w:r w:rsidR="00D553FA">
              <w:t>FB</w:t>
            </w:r>
          </w:p>
        </w:tc>
      </w:tr>
      <w:tr w:rsidR="00581085"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581085" w:rsidRDefault="00581085" w:rsidP="002E48A9">
            <w:pPr>
              <w:spacing w:line="259" w:lineRule="auto"/>
            </w:pPr>
            <w:r>
              <w:rPr>
                <w:sz w:val="18"/>
              </w:rPr>
              <w:t xml:space="preserve">Page 1 of </w:t>
            </w:r>
            <w:r w:rsidR="00B80C75">
              <w:rPr>
                <w:sz w:val="18"/>
              </w:rPr>
              <w:t>2</w:t>
            </w:r>
          </w:p>
        </w:tc>
        <w:tc>
          <w:tcPr>
            <w:tcW w:w="990" w:type="dxa"/>
            <w:tcBorders>
              <w:top w:val="single" w:sz="4" w:space="0" w:color="000000"/>
              <w:left w:val="single" w:sz="4" w:space="0" w:color="000000"/>
              <w:bottom w:val="single" w:sz="4" w:space="0" w:color="000000"/>
              <w:right w:val="single" w:sz="4" w:space="0" w:color="000000"/>
            </w:tcBorders>
          </w:tcPr>
          <w:p w:rsidR="00581085" w:rsidRDefault="00581085" w:rsidP="002E48A9">
            <w:pPr>
              <w:spacing w:line="259" w:lineRule="auto"/>
            </w:pPr>
            <w:r>
              <w:rPr>
                <w:sz w:val="20"/>
              </w:rPr>
              <w:t xml:space="preserve"> </w:t>
            </w:r>
          </w:p>
        </w:tc>
      </w:tr>
      <w:tr w:rsidR="00581085"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581085" w:rsidRPr="008032BB" w:rsidRDefault="00D553FA" w:rsidP="002E48A9">
            <w:pPr>
              <w:spacing w:line="259" w:lineRule="auto"/>
              <w:rPr>
                <w:sz w:val="18"/>
              </w:rPr>
            </w:pPr>
            <w:r>
              <w:rPr>
                <w:sz w:val="18"/>
              </w:rPr>
              <w:t>Library Materials</w:t>
            </w:r>
            <w:r w:rsidR="00581085">
              <w:rPr>
                <w:sz w:val="18"/>
              </w:rPr>
              <w:t xml:space="preserve"> - 202</w:t>
            </w:r>
            <w:r>
              <w:rPr>
                <w:sz w:val="18"/>
              </w:rPr>
              <w:t>5</w:t>
            </w:r>
          </w:p>
        </w:tc>
      </w:tr>
    </w:tbl>
    <w:p w:rsidR="00E145B3" w:rsidRDefault="009B72DF" w:rsidP="00A31D27"/>
    <w:p w:rsidR="00C00E71" w:rsidRDefault="00D553FA" w:rsidP="00467B13">
      <w:pPr>
        <w:pStyle w:val="unique1"/>
        <w:spacing w:after="120"/>
        <w:rPr>
          <w:rFonts w:asciiTheme="minorHAnsi" w:hAnsiTheme="minorHAnsi" w:cstheme="minorHAnsi"/>
          <w:color w:val="212529"/>
          <w:shd w:val="clear" w:color="auto" w:fill="FFFFFF"/>
        </w:rPr>
      </w:pPr>
      <w:r w:rsidRPr="00D553FA">
        <w:rPr>
          <w:rFonts w:asciiTheme="minorHAnsi" w:hAnsiTheme="minorHAnsi" w:cstheme="minorHAnsi"/>
          <w:color w:val="212529"/>
          <w:shd w:val="clear" w:color="auto" w:fill="FFFFFF"/>
        </w:rPr>
        <w:t>T</w:t>
      </w:r>
      <w:r w:rsidRPr="00D553FA">
        <w:rPr>
          <w:rFonts w:asciiTheme="minorHAnsi" w:hAnsiTheme="minorHAnsi" w:cstheme="minorHAnsi"/>
          <w:color w:val="212529"/>
          <w:shd w:val="clear" w:color="auto" w:fill="FFFFFF"/>
        </w:rPr>
        <w:t>he District provides a wide range of library materials for students and faculty that support student achievement and present varying levels of difficulty, diversity of appeal, and a variety of points of view. This policy also provides standards for collection development and the selection and evaluation of library materials.</w:t>
      </w:r>
    </w:p>
    <w:p w:rsidR="00D553FA" w:rsidRPr="00D553FA" w:rsidRDefault="00D553FA" w:rsidP="00D553FA">
      <w:pPr>
        <w:shd w:val="clear" w:color="auto" w:fill="FFFFFF"/>
        <w:spacing w:after="240" w:line="252" w:lineRule="atLeast"/>
        <w:rPr>
          <w:rFonts w:eastAsia="Times New Roman" w:cstheme="minorHAnsi"/>
          <w:color w:val="212529"/>
          <w:sz w:val="22"/>
          <w:szCs w:val="22"/>
        </w:rPr>
      </w:pPr>
      <w:r w:rsidRPr="00D553FA">
        <w:rPr>
          <w:rFonts w:eastAsia="Times New Roman" w:cstheme="minorHAnsi"/>
          <w:color w:val="212529"/>
          <w:sz w:val="22"/>
          <w:szCs w:val="22"/>
        </w:rPr>
        <w:t>"</w:t>
      </w:r>
      <w:r>
        <w:rPr>
          <w:rFonts w:eastAsia="Times New Roman" w:cstheme="minorHAnsi"/>
          <w:color w:val="212529"/>
          <w:sz w:val="22"/>
          <w:szCs w:val="22"/>
        </w:rPr>
        <w:t>L</w:t>
      </w:r>
      <w:r w:rsidRPr="00D553FA">
        <w:rPr>
          <w:rFonts w:eastAsia="Times New Roman" w:cstheme="minorHAnsi"/>
          <w:color w:val="212529"/>
          <w:sz w:val="22"/>
          <w:szCs w:val="22"/>
        </w:rPr>
        <w:t>ibrary materials" may include printed and electronic library acquisitions, including online catalogs, and other ancillary or supplementary materials maintained in a campus library.</w:t>
      </w:r>
    </w:p>
    <w:p w:rsidR="00D553FA" w:rsidRDefault="00D553FA" w:rsidP="00467B13">
      <w:pPr>
        <w:pStyle w:val="unique1"/>
        <w:spacing w:after="120"/>
        <w:rPr>
          <w:rFonts w:asciiTheme="minorHAnsi" w:hAnsiTheme="minorHAnsi" w:cstheme="minorHAnsi"/>
          <w:b/>
        </w:rPr>
      </w:pPr>
      <w:r>
        <w:rPr>
          <w:rFonts w:asciiTheme="minorHAnsi" w:hAnsiTheme="minorHAnsi" w:cstheme="minorHAnsi"/>
          <w:b/>
        </w:rPr>
        <w:t>Selection and Evaluation of Materials</w:t>
      </w:r>
    </w:p>
    <w:p w:rsidR="00D553FA" w:rsidRPr="00D553FA" w:rsidRDefault="00D553FA" w:rsidP="00D553FA">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D553FA">
        <w:rPr>
          <w:rFonts w:asciiTheme="minorHAnsi" w:hAnsiTheme="minorHAnsi" w:cstheme="minorHAnsi"/>
          <w:color w:val="212529"/>
          <w:sz w:val="22"/>
          <w:szCs w:val="22"/>
        </w:rPr>
        <w:t>Library materials shall be selected and acquired in accordance with guidelines adopted by the Texas State Library and Archives Commission and the District standards.</w:t>
      </w:r>
    </w:p>
    <w:p w:rsidR="00D553FA" w:rsidRPr="00D553FA" w:rsidRDefault="00D553FA" w:rsidP="00D553FA">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D553FA">
        <w:rPr>
          <w:rFonts w:asciiTheme="minorHAnsi" w:hAnsiTheme="minorHAnsi" w:cstheme="minorHAnsi"/>
          <w:color w:val="212529"/>
          <w:sz w:val="22"/>
          <w:szCs w:val="22"/>
        </w:rPr>
        <w:t>When selecting, acquiring, and evaluating library materials, librarians and other professional staff shall ensure that the materials:</w:t>
      </w:r>
    </w:p>
    <w:p w:rsidR="00D553FA" w:rsidRPr="00D553FA" w:rsidRDefault="00D553FA" w:rsidP="00D553FA">
      <w:pPr>
        <w:pStyle w:val="list-level1"/>
        <w:numPr>
          <w:ilvl w:val="0"/>
          <w:numId w:val="10"/>
        </w:numPr>
        <w:shd w:val="clear" w:color="auto" w:fill="FFFFFF"/>
        <w:rPr>
          <w:rFonts w:asciiTheme="minorHAnsi" w:hAnsiTheme="minorHAnsi" w:cstheme="minorHAnsi"/>
          <w:color w:val="212529"/>
          <w:sz w:val="22"/>
          <w:szCs w:val="22"/>
        </w:rPr>
      </w:pPr>
      <w:r w:rsidRPr="00D553FA">
        <w:rPr>
          <w:rFonts w:asciiTheme="minorHAnsi" w:hAnsiTheme="minorHAnsi" w:cstheme="minorHAnsi"/>
          <w:color w:val="212529"/>
          <w:sz w:val="22"/>
          <w:szCs w:val="22"/>
        </w:rPr>
        <w:t>Enrich and support the TEKS and the state and local curriculum, taking into consideration students' varied interests, maturity levels, abilities, and learning styles.</w:t>
      </w:r>
    </w:p>
    <w:p w:rsidR="00D553FA" w:rsidRPr="00D553FA" w:rsidRDefault="00D553FA" w:rsidP="00D553FA">
      <w:pPr>
        <w:pStyle w:val="list-level1"/>
        <w:numPr>
          <w:ilvl w:val="0"/>
          <w:numId w:val="10"/>
        </w:numPr>
        <w:shd w:val="clear" w:color="auto" w:fill="FFFFFF"/>
        <w:rPr>
          <w:rFonts w:asciiTheme="minorHAnsi" w:hAnsiTheme="minorHAnsi" w:cstheme="minorHAnsi"/>
          <w:color w:val="212529"/>
          <w:sz w:val="22"/>
          <w:szCs w:val="22"/>
        </w:rPr>
      </w:pPr>
      <w:r w:rsidRPr="00D553FA">
        <w:rPr>
          <w:rFonts w:asciiTheme="minorHAnsi" w:hAnsiTheme="minorHAnsi" w:cstheme="minorHAnsi"/>
          <w:color w:val="212529"/>
          <w:sz w:val="22"/>
          <w:szCs w:val="22"/>
        </w:rPr>
        <w:t>Foster growth in factual knowledge, literary appreciation, aesthetic values, and societal standards.</w:t>
      </w:r>
    </w:p>
    <w:p w:rsidR="00D553FA" w:rsidRPr="00D553FA" w:rsidRDefault="00D553FA" w:rsidP="00D553FA">
      <w:pPr>
        <w:pStyle w:val="list-level1"/>
        <w:numPr>
          <w:ilvl w:val="0"/>
          <w:numId w:val="10"/>
        </w:numPr>
        <w:shd w:val="clear" w:color="auto" w:fill="FFFFFF"/>
        <w:rPr>
          <w:rFonts w:asciiTheme="minorHAnsi" w:hAnsiTheme="minorHAnsi" w:cstheme="minorHAnsi"/>
          <w:color w:val="212529"/>
          <w:sz w:val="22"/>
          <w:szCs w:val="22"/>
        </w:rPr>
      </w:pPr>
      <w:r w:rsidRPr="00D553FA">
        <w:rPr>
          <w:rFonts w:asciiTheme="minorHAnsi" w:hAnsiTheme="minorHAnsi" w:cstheme="minorHAnsi"/>
          <w:color w:val="212529"/>
          <w:sz w:val="22"/>
          <w:szCs w:val="22"/>
        </w:rPr>
        <w:t>Encourage the enjoyment of reading, foster high-level thinking skills, support personal learning, and encourage discussion based on rational analysis.</w:t>
      </w:r>
    </w:p>
    <w:p w:rsidR="00D553FA" w:rsidRDefault="00D553FA" w:rsidP="00D553FA">
      <w:pPr>
        <w:pStyle w:val="list-level1"/>
        <w:numPr>
          <w:ilvl w:val="0"/>
          <w:numId w:val="10"/>
        </w:numPr>
        <w:shd w:val="clear" w:color="auto" w:fill="FFFFFF"/>
        <w:rPr>
          <w:rFonts w:asciiTheme="minorHAnsi" w:hAnsiTheme="minorHAnsi" w:cstheme="minorHAnsi"/>
          <w:color w:val="212529"/>
          <w:sz w:val="22"/>
          <w:szCs w:val="22"/>
        </w:rPr>
      </w:pPr>
      <w:r w:rsidRPr="00D553FA">
        <w:rPr>
          <w:rFonts w:asciiTheme="minorHAnsi" w:hAnsiTheme="minorHAnsi" w:cstheme="minorHAnsi"/>
          <w:color w:val="212529"/>
          <w:sz w:val="22"/>
          <w:szCs w:val="22"/>
        </w:rPr>
        <w:t>Represent ethnic, religious, and cultural groups of the state and their contributions to the state, the nation, and the world.</w:t>
      </w:r>
    </w:p>
    <w:p w:rsidR="00D553FA" w:rsidRPr="00D553FA" w:rsidRDefault="00D553FA" w:rsidP="00D553FA">
      <w:pPr>
        <w:pStyle w:val="list-level1"/>
        <w:shd w:val="clear" w:color="auto" w:fill="FFFFFF"/>
        <w:rPr>
          <w:rFonts w:asciiTheme="minorHAnsi" w:hAnsiTheme="minorHAnsi" w:cstheme="minorHAnsi"/>
          <w:color w:val="212529"/>
          <w:sz w:val="22"/>
          <w:szCs w:val="22"/>
        </w:rPr>
      </w:pPr>
      <w:r>
        <w:rPr>
          <w:rFonts w:asciiTheme="minorHAnsi" w:hAnsiTheme="minorHAnsi" w:cstheme="minorHAnsi"/>
          <w:color w:val="212529"/>
          <w:sz w:val="22"/>
          <w:szCs w:val="22"/>
        </w:rPr>
        <w:t>Recommendations for Materials should be based on the following:</w:t>
      </w:r>
    </w:p>
    <w:p w:rsidR="00D553FA" w:rsidRPr="00D553FA" w:rsidRDefault="00D553FA" w:rsidP="00D553FA">
      <w:pPr>
        <w:pStyle w:val="list-level1"/>
        <w:numPr>
          <w:ilvl w:val="0"/>
          <w:numId w:val="12"/>
        </w:numPr>
        <w:shd w:val="clear" w:color="auto" w:fill="FFFFFF"/>
        <w:rPr>
          <w:rFonts w:asciiTheme="minorHAnsi" w:hAnsiTheme="minorHAnsi" w:cstheme="minorHAnsi"/>
          <w:color w:val="212529"/>
          <w:sz w:val="22"/>
          <w:szCs w:val="22"/>
        </w:rPr>
      </w:pPr>
      <w:r w:rsidRPr="00D553FA">
        <w:rPr>
          <w:rFonts w:asciiTheme="minorHAnsi" w:hAnsiTheme="minorHAnsi" w:cstheme="minorHAnsi"/>
          <w:color w:val="212529"/>
          <w:sz w:val="22"/>
          <w:szCs w:val="22"/>
        </w:rPr>
        <w:t>Recommendations from students, parents or guardians, teachers, and District community members.</w:t>
      </w:r>
    </w:p>
    <w:p w:rsidR="00D553FA" w:rsidRPr="00D553FA" w:rsidRDefault="00D553FA" w:rsidP="00D553FA">
      <w:pPr>
        <w:pStyle w:val="list-level1"/>
        <w:numPr>
          <w:ilvl w:val="0"/>
          <w:numId w:val="12"/>
        </w:numPr>
        <w:shd w:val="clear" w:color="auto" w:fill="FFFFFF"/>
        <w:rPr>
          <w:rFonts w:asciiTheme="minorHAnsi" w:hAnsiTheme="minorHAnsi" w:cstheme="minorHAnsi"/>
          <w:color w:val="212529"/>
          <w:sz w:val="22"/>
          <w:szCs w:val="22"/>
        </w:rPr>
      </w:pPr>
      <w:r w:rsidRPr="00D553FA">
        <w:rPr>
          <w:rFonts w:asciiTheme="minorHAnsi" w:hAnsiTheme="minorHAnsi" w:cstheme="minorHAnsi"/>
          <w:color w:val="212529"/>
          <w:sz w:val="22"/>
          <w:szCs w:val="22"/>
        </w:rPr>
        <w:t>Consultation with District teachers and library staff.</w:t>
      </w:r>
    </w:p>
    <w:p w:rsidR="00D553FA" w:rsidRPr="00D553FA" w:rsidRDefault="00D553FA" w:rsidP="00D553FA">
      <w:pPr>
        <w:pStyle w:val="list-level1"/>
        <w:numPr>
          <w:ilvl w:val="0"/>
          <w:numId w:val="12"/>
        </w:numPr>
        <w:shd w:val="clear" w:color="auto" w:fill="FFFFFF"/>
        <w:rPr>
          <w:rFonts w:asciiTheme="minorHAnsi" w:hAnsiTheme="minorHAnsi" w:cstheme="minorHAnsi"/>
          <w:color w:val="212529"/>
          <w:sz w:val="22"/>
          <w:szCs w:val="22"/>
        </w:rPr>
      </w:pPr>
      <w:r w:rsidRPr="00D553FA">
        <w:rPr>
          <w:rFonts w:asciiTheme="minorHAnsi" w:hAnsiTheme="minorHAnsi" w:cstheme="minorHAnsi"/>
          <w:color w:val="212529"/>
          <w:sz w:val="22"/>
          <w:szCs w:val="22"/>
        </w:rPr>
        <w:t>Consultation with library staff from other districts.</w:t>
      </w:r>
    </w:p>
    <w:p w:rsidR="00D553FA" w:rsidRPr="00D553FA" w:rsidRDefault="00D553FA" w:rsidP="00D553FA">
      <w:pPr>
        <w:pStyle w:val="list-level1"/>
        <w:numPr>
          <w:ilvl w:val="0"/>
          <w:numId w:val="12"/>
        </w:numPr>
        <w:shd w:val="clear" w:color="auto" w:fill="FFFFFF"/>
        <w:rPr>
          <w:rFonts w:asciiTheme="minorHAnsi" w:hAnsiTheme="minorHAnsi" w:cstheme="minorHAnsi"/>
          <w:color w:val="212529"/>
          <w:sz w:val="22"/>
          <w:szCs w:val="22"/>
        </w:rPr>
      </w:pPr>
      <w:r w:rsidRPr="00D553FA">
        <w:rPr>
          <w:rFonts w:asciiTheme="minorHAnsi" w:hAnsiTheme="minorHAnsi" w:cstheme="minorHAnsi"/>
          <w:color w:val="212529"/>
          <w:sz w:val="22"/>
          <w:szCs w:val="22"/>
        </w:rPr>
        <w:t>Extensive review of the library material.</w:t>
      </w:r>
    </w:p>
    <w:p w:rsidR="00D553FA" w:rsidRPr="00D553FA" w:rsidRDefault="00D553FA" w:rsidP="00D553FA">
      <w:pPr>
        <w:pStyle w:val="list-level1"/>
        <w:numPr>
          <w:ilvl w:val="0"/>
          <w:numId w:val="12"/>
        </w:numPr>
        <w:shd w:val="clear" w:color="auto" w:fill="FFFFFF"/>
        <w:rPr>
          <w:rFonts w:asciiTheme="minorHAnsi" w:hAnsiTheme="minorHAnsi" w:cstheme="minorHAnsi"/>
          <w:color w:val="212529"/>
          <w:sz w:val="22"/>
          <w:szCs w:val="22"/>
        </w:rPr>
      </w:pPr>
      <w:r w:rsidRPr="00D553FA">
        <w:rPr>
          <w:rFonts w:asciiTheme="minorHAnsi" w:hAnsiTheme="minorHAnsi" w:cstheme="minorHAnsi"/>
          <w:color w:val="212529"/>
          <w:sz w:val="22"/>
          <w:szCs w:val="22"/>
        </w:rPr>
        <w:t>Context of the library material, including overall fit within the existing collection and support of District curriculum.</w:t>
      </w:r>
    </w:p>
    <w:p w:rsidR="00D553FA" w:rsidRPr="00D553FA" w:rsidRDefault="00D553FA" w:rsidP="00D553FA">
      <w:pPr>
        <w:pStyle w:val="list-level1"/>
        <w:numPr>
          <w:ilvl w:val="0"/>
          <w:numId w:val="12"/>
        </w:numPr>
        <w:shd w:val="clear" w:color="auto" w:fill="FFFFFF"/>
        <w:rPr>
          <w:rFonts w:asciiTheme="minorHAnsi" w:hAnsiTheme="minorHAnsi" w:cstheme="minorHAnsi"/>
          <w:color w:val="212529"/>
          <w:sz w:val="22"/>
          <w:szCs w:val="22"/>
        </w:rPr>
      </w:pPr>
      <w:r w:rsidRPr="00D553FA">
        <w:rPr>
          <w:rFonts w:asciiTheme="minorHAnsi" w:hAnsiTheme="minorHAnsi" w:cstheme="minorHAnsi"/>
          <w:color w:val="212529"/>
          <w:sz w:val="22"/>
          <w:szCs w:val="22"/>
        </w:rPr>
        <w:t>Reviews of the library material from sources such as professional journals in library science, recognized professional education or content journals with book reviews, national and state award recognition lists, library science field experts, and highly acclaimed author and literacy expert recommendations.</w:t>
      </w:r>
    </w:p>
    <w:p w:rsidR="00D553FA" w:rsidRPr="00D553FA" w:rsidRDefault="00D553FA" w:rsidP="00D553FA">
      <w:pPr>
        <w:pStyle w:val="list-level1"/>
        <w:numPr>
          <w:ilvl w:val="0"/>
          <w:numId w:val="12"/>
        </w:numPr>
        <w:shd w:val="clear" w:color="auto" w:fill="FFFFFF"/>
        <w:rPr>
          <w:rFonts w:asciiTheme="minorHAnsi" w:hAnsiTheme="minorHAnsi" w:cstheme="minorHAnsi"/>
          <w:color w:val="212529"/>
          <w:sz w:val="22"/>
          <w:szCs w:val="22"/>
        </w:rPr>
      </w:pPr>
      <w:r w:rsidRPr="00D553FA">
        <w:rPr>
          <w:rFonts w:asciiTheme="minorHAnsi" w:hAnsiTheme="minorHAnsi" w:cstheme="minorHAnsi"/>
          <w:color w:val="212529"/>
          <w:sz w:val="22"/>
          <w:szCs w:val="22"/>
        </w:rPr>
        <w:t>Coverage of topics, authors, series, or genres that fill gaps in the school library collection.</w:t>
      </w:r>
    </w:p>
    <w:p w:rsidR="0090764D" w:rsidRPr="0090764D" w:rsidRDefault="0090764D" w:rsidP="0090764D">
      <w:pPr>
        <w:shd w:val="clear" w:color="auto" w:fill="FFFFFF"/>
        <w:spacing w:after="240" w:line="252" w:lineRule="atLeast"/>
        <w:rPr>
          <w:rFonts w:eastAsia="Times New Roman" w:cstheme="minorHAnsi"/>
          <w:b/>
          <w:color w:val="212529"/>
          <w:sz w:val="22"/>
          <w:szCs w:val="22"/>
        </w:rPr>
      </w:pPr>
      <w:r w:rsidRPr="0090764D">
        <w:rPr>
          <w:rFonts w:eastAsia="Times New Roman" w:cstheme="minorHAnsi"/>
          <w:b/>
          <w:color w:val="212529"/>
          <w:sz w:val="22"/>
          <w:szCs w:val="22"/>
        </w:rPr>
        <w:lastRenderedPageBreak/>
        <w:t>Parental Involvement</w:t>
      </w:r>
    </w:p>
    <w:p w:rsidR="0090764D" w:rsidRDefault="00297434" w:rsidP="0090764D">
      <w:pPr>
        <w:shd w:val="clear" w:color="auto" w:fill="FFFFFF"/>
        <w:spacing w:after="240" w:line="252" w:lineRule="atLeast"/>
        <w:rPr>
          <w:rFonts w:eastAsia="Times New Roman" w:cstheme="minorHAnsi"/>
          <w:color w:val="212529"/>
          <w:sz w:val="22"/>
          <w:szCs w:val="22"/>
        </w:rPr>
      </w:pPr>
      <w:r w:rsidRPr="0090764D">
        <w:rPr>
          <w:rFonts w:eastAsia="Times New Roman" w:cstheme="minorHAnsi"/>
          <w:color w:val="212529"/>
          <w:sz w:val="22"/>
          <w:szCs w:val="22"/>
        </w:rPr>
        <w:t>Parents and guardians are the primary decision makers regarding their student's access to library material. In general, a student is afforded the opportunity to self-select library materials as part of literacy development and the library program. District staff may assist a student in selecting library material; however, the ultimate determination of appropriateness remains with the student and parent or guardian. Parents and guardians are encouraged to communicate with the campus librarian and their child's teacher about special considerations regarding library materials self-selected by their student.</w:t>
      </w:r>
    </w:p>
    <w:p w:rsidR="00297434" w:rsidRPr="0090764D" w:rsidRDefault="00297434" w:rsidP="0090764D">
      <w:pPr>
        <w:shd w:val="clear" w:color="auto" w:fill="FFFFFF"/>
        <w:spacing w:after="240" w:line="252" w:lineRule="atLeast"/>
        <w:rPr>
          <w:rFonts w:eastAsia="Times New Roman" w:cstheme="minorHAnsi"/>
          <w:color w:val="212529"/>
          <w:sz w:val="22"/>
          <w:szCs w:val="22"/>
        </w:rPr>
      </w:pPr>
      <w:r w:rsidRPr="0090764D">
        <w:rPr>
          <w:rFonts w:eastAsia="Times New Roman" w:cstheme="minorHAnsi"/>
          <w:color w:val="212529"/>
          <w:sz w:val="22"/>
          <w:szCs w:val="22"/>
        </w:rPr>
        <w:t>In accordance with state law and administrative procedures, parents or guardians may select alternative library materials for their student.</w:t>
      </w:r>
    </w:p>
    <w:p w:rsidR="00D553FA" w:rsidRPr="0090764D" w:rsidRDefault="0090764D" w:rsidP="00467B13">
      <w:pPr>
        <w:pStyle w:val="unique1"/>
        <w:spacing w:after="120"/>
        <w:rPr>
          <w:rFonts w:asciiTheme="minorHAnsi" w:hAnsiTheme="minorHAnsi" w:cstheme="minorHAnsi"/>
          <w:b/>
        </w:rPr>
      </w:pPr>
      <w:r w:rsidRPr="0090764D">
        <w:rPr>
          <w:rFonts w:asciiTheme="minorHAnsi" w:hAnsiTheme="minorHAnsi" w:cstheme="minorHAnsi"/>
          <w:color w:val="212529"/>
          <w:shd w:val="clear" w:color="auto" w:fill="FFFFFF"/>
        </w:rPr>
        <w:t>The District shall allow efficient parental access to the District's library and any available online catalogs.</w:t>
      </w:r>
    </w:p>
    <w:p w:rsidR="00467B13" w:rsidRPr="00467B13" w:rsidRDefault="00467B13" w:rsidP="00467B13">
      <w:pPr>
        <w:pStyle w:val="local1"/>
        <w:rPr>
          <w:rFonts w:ascii="Calibri" w:hAnsi="Calibri" w:cs="Calibri"/>
          <w:b/>
        </w:rPr>
      </w:pPr>
    </w:p>
    <w:p w:rsidR="00E61B55" w:rsidRPr="001D6C2F" w:rsidRDefault="001D6C2F" w:rsidP="00E61B55">
      <w:pPr>
        <w:pStyle w:val="unique1"/>
        <w:rPr>
          <w:rFonts w:asciiTheme="minorHAnsi" w:hAnsiTheme="minorHAnsi" w:cstheme="minorHAnsi"/>
          <w:b/>
        </w:rPr>
      </w:pPr>
      <w:r w:rsidRPr="001D6C2F">
        <w:rPr>
          <w:rFonts w:asciiTheme="minorHAnsi" w:hAnsiTheme="minorHAnsi" w:cstheme="minorHAnsi"/>
          <w:b/>
        </w:rPr>
        <w:t>Maintenance of Library Materials</w:t>
      </w:r>
    </w:p>
    <w:p w:rsidR="001D6C2F" w:rsidRPr="001D6C2F" w:rsidRDefault="001D6C2F" w:rsidP="00E61B55">
      <w:pPr>
        <w:pStyle w:val="unique1"/>
        <w:rPr>
          <w:rFonts w:asciiTheme="minorHAnsi" w:hAnsiTheme="minorHAnsi" w:cstheme="minorHAnsi"/>
        </w:rPr>
      </w:pPr>
      <w:r w:rsidRPr="001D6C2F">
        <w:rPr>
          <w:rFonts w:asciiTheme="minorHAnsi" w:hAnsiTheme="minorHAnsi" w:cstheme="minorHAnsi"/>
          <w:color w:val="212529"/>
          <w:shd w:val="clear" w:color="auto" w:fill="FFFFFF"/>
        </w:rPr>
        <w:t>Standard maintenance procedures for any library collection include repair, replacement, and removal of materials as necessary. Regular maintenance shall also include scheduled inventories of the collection. Disposal of any District-owned library materials shall be in accordance with District policy and procedures.</w:t>
      </w:r>
    </w:p>
    <w:p w:rsidR="00E61B55" w:rsidRPr="00E61B55" w:rsidRDefault="00E61B55" w:rsidP="00863AFE">
      <w:pPr>
        <w:pStyle w:val="local1"/>
        <w:rPr>
          <w:rFonts w:ascii="Calibri" w:hAnsi="Calibri" w:cs="Calibri"/>
        </w:rPr>
      </w:pPr>
    </w:p>
    <w:p w:rsidR="00B00C11" w:rsidRPr="00323B21" w:rsidRDefault="00323B21" w:rsidP="00B00C11">
      <w:pPr>
        <w:pStyle w:val="unique1"/>
        <w:rPr>
          <w:rFonts w:asciiTheme="minorHAnsi" w:hAnsiTheme="minorHAnsi" w:cstheme="minorHAnsi"/>
          <w:b/>
        </w:rPr>
      </w:pPr>
      <w:r w:rsidRPr="00323B21">
        <w:rPr>
          <w:rFonts w:asciiTheme="minorHAnsi" w:hAnsiTheme="minorHAnsi" w:cstheme="minorHAnsi"/>
          <w:b/>
        </w:rPr>
        <w:t>Gifts and Donations</w:t>
      </w:r>
    </w:p>
    <w:p w:rsidR="00323B21" w:rsidRPr="00323B21" w:rsidRDefault="00323B21" w:rsidP="00B00C11">
      <w:pPr>
        <w:pStyle w:val="unique1"/>
        <w:rPr>
          <w:rFonts w:asciiTheme="minorHAnsi" w:hAnsiTheme="minorHAnsi" w:cstheme="minorHAnsi"/>
        </w:rPr>
      </w:pPr>
      <w:r w:rsidRPr="00323B21">
        <w:rPr>
          <w:rFonts w:asciiTheme="minorHAnsi" w:hAnsiTheme="minorHAnsi" w:cstheme="minorHAnsi"/>
          <w:color w:val="212529"/>
          <w:shd w:val="clear" w:color="auto" w:fill="FFFFFF"/>
        </w:rPr>
        <w:t>The District shall accept gifts and donations of library materials with the understanding that the use and disposition of the materials and monies will be in accordance with District policy and the selection criteria noted above. </w:t>
      </w:r>
    </w:p>
    <w:p w:rsidR="00B00C11" w:rsidRPr="00D90621" w:rsidRDefault="00B00C11" w:rsidP="00581085">
      <w:pPr>
        <w:rPr>
          <w:rFonts w:cstheme="minorHAnsi"/>
          <w:b/>
          <w:bCs/>
          <w:color w:val="212529"/>
          <w:sz w:val="22"/>
          <w:szCs w:val="22"/>
          <w:shd w:val="clear" w:color="auto" w:fill="FFFFFF"/>
        </w:rPr>
      </w:pPr>
      <w:bookmarkStart w:id="0" w:name="_GoBack"/>
      <w:bookmarkEnd w:id="0"/>
    </w:p>
    <w:sectPr w:rsidR="00B00C11" w:rsidRPr="00D90621"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2DF" w:rsidRDefault="009B72DF" w:rsidP="0011111B">
      <w:pPr>
        <w:spacing w:after="0" w:line="240" w:lineRule="auto"/>
      </w:pPr>
      <w:r>
        <w:separator/>
      </w:r>
    </w:p>
  </w:endnote>
  <w:endnote w:type="continuationSeparator" w:id="0">
    <w:p w:rsidR="009B72DF" w:rsidRDefault="009B72DF"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2DF" w:rsidRDefault="009B72DF" w:rsidP="0011111B">
      <w:pPr>
        <w:spacing w:after="0" w:line="240" w:lineRule="auto"/>
      </w:pPr>
      <w:r>
        <w:separator/>
      </w:r>
    </w:p>
  </w:footnote>
  <w:footnote w:type="continuationSeparator" w:id="0">
    <w:p w:rsidR="009B72DF" w:rsidRDefault="009B72DF"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A2240"/>
    <w:multiLevelType w:val="multilevel"/>
    <w:tmpl w:val="6432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7257A"/>
    <w:multiLevelType w:val="hybridMultilevel"/>
    <w:tmpl w:val="E630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7110B"/>
    <w:multiLevelType w:val="multilevel"/>
    <w:tmpl w:val="22AE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FF0167"/>
    <w:multiLevelType w:val="hybridMultilevel"/>
    <w:tmpl w:val="8702D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123D4"/>
    <w:multiLevelType w:val="multilevel"/>
    <w:tmpl w:val="22AE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84DD7"/>
    <w:multiLevelType w:val="hybridMultilevel"/>
    <w:tmpl w:val="123A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940BB0"/>
    <w:multiLevelType w:val="multilevel"/>
    <w:tmpl w:val="A13AA2B0"/>
    <w:numStyleLink w:val="numberedlist"/>
  </w:abstractNum>
  <w:abstractNum w:abstractNumId="9" w15:restartNumberingAfterBreak="0">
    <w:nsid w:val="78940BB1"/>
    <w:multiLevelType w:val="multilevel"/>
    <w:tmpl w:val="A13AA2B0"/>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7"/>
  </w:num>
  <w:num w:numId="3">
    <w:abstractNumId w:val="1"/>
  </w:num>
  <w:num w:numId="4">
    <w:abstractNumId w:val="8"/>
  </w:num>
  <w:num w:numId="5">
    <w:abstractNumId w:val="9"/>
  </w:num>
  <w:num w:numId="6">
    <w:abstractNumId w:val="4"/>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26C3C"/>
    <w:rsid w:val="00145C00"/>
    <w:rsid w:val="00153553"/>
    <w:rsid w:val="00192C6B"/>
    <w:rsid w:val="001C2822"/>
    <w:rsid w:val="001D6C2F"/>
    <w:rsid w:val="00227177"/>
    <w:rsid w:val="00263EEA"/>
    <w:rsid w:val="002874B0"/>
    <w:rsid w:val="00297434"/>
    <w:rsid w:val="00323B21"/>
    <w:rsid w:val="003417BE"/>
    <w:rsid w:val="004450A2"/>
    <w:rsid w:val="00467B13"/>
    <w:rsid w:val="004C5382"/>
    <w:rsid w:val="00581085"/>
    <w:rsid w:val="005B4044"/>
    <w:rsid w:val="005C7D81"/>
    <w:rsid w:val="005F3BF4"/>
    <w:rsid w:val="0067079D"/>
    <w:rsid w:val="006A10E8"/>
    <w:rsid w:val="006E647E"/>
    <w:rsid w:val="00730FF9"/>
    <w:rsid w:val="007927C3"/>
    <w:rsid w:val="00863338"/>
    <w:rsid w:val="00863AFE"/>
    <w:rsid w:val="0090764D"/>
    <w:rsid w:val="009B72DF"/>
    <w:rsid w:val="00A31D27"/>
    <w:rsid w:val="00A450D3"/>
    <w:rsid w:val="00A915FF"/>
    <w:rsid w:val="00AA30B2"/>
    <w:rsid w:val="00AB16DA"/>
    <w:rsid w:val="00B00C11"/>
    <w:rsid w:val="00B80C75"/>
    <w:rsid w:val="00C00E71"/>
    <w:rsid w:val="00CC00A9"/>
    <w:rsid w:val="00CC3906"/>
    <w:rsid w:val="00D553FA"/>
    <w:rsid w:val="00D82ACD"/>
    <w:rsid w:val="00D90621"/>
    <w:rsid w:val="00E139D2"/>
    <w:rsid w:val="00E607FA"/>
    <w:rsid w:val="00E61B55"/>
    <w:rsid w:val="00EF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0AFD"/>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581085"/>
    <w:pPr>
      <w:spacing w:before="100" w:beforeAutospacing="1" w:after="100" w:afterAutospacing="1" w:line="240" w:lineRule="auto"/>
    </w:pPr>
    <w:rPr>
      <w:rFonts w:ascii="Times New Roman" w:eastAsia="Times New Roman" w:hAnsi="Times New Roman" w:cs="Times New Roman"/>
      <w:sz w:val="24"/>
      <w:szCs w:val="24"/>
    </w:rPr>
  </w:style>
  <w:style w:type="table" w:styleId="TableGrid0">
    <w:name w:val="Table Grid"/>
    <w:basedOn w:val="TableNormal"/>
    <w:uiPriority w:val="59"/>
    <w:rsid w:val="00581085"/>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que-1">
    <w:name w:val="unique-1"/>
    <w:basedOn w:val="Normal"/>
    <w:rsid w:val="005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x-1">
    <w:name w:val="listx-1"/>
    <w:basedOn w:val="Normal"/>
    <w:rsid w:val="0058108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90621"/>
    <w:rPr>
      <w:rFonts w:cstheme="minorHAnsi"/>
      <w:color w:val="212529"/>
      <w:sz w:val="22"/>
      <w:szCs w:val="22"/>
      <w:shd w:val="clear" w:color="auto" w:fill="FFFFFF"/>
    </w:rPr>
  </w:style>
  <w:style w:type="character" w:customStyle="1" w:styleId="BodyTextChar">
    <w:name w:val="Body Text Char"/>
    <w:basedOn w:val="DefaultParagraphFont"/>
    <w:link w:val="BodyText"/>
    <w:uiPriority w:val="99"/>
    <w:rsid w:val="00D90621"/>
    <w:rPr>
      <w:rFonts w:cstheme="minorHAnsi"/>
      <w:color w:val="212529"/>
    </w:rPr>
  </w:style>
  <w:style w:type="paragraph" w:customStyle="1" w:styleId="unique1">
    <w:name w:val="unique:1"/>
    <w:basedOn w:val="Normal"/>
    <w:qFormat/>
    <w:rsid w:val="00B00C11"/>
    <w:pPr>
      <w:spacing w:line="260" w:lineRule="atLeast"/>
    </w:pPr>
    <w:rPr>
      <w:rFonts w:ascii="Arial" w:eastAsia="Times New Roman" w:hAnsi="Arial" w:cs="Times New Roman"/>
      <w:kern w:val="20"/>
      <w:sz w:val="22"/>
      <w:szCs w:val="22"/>
    </w:rPr>
  </w:style>
  <w:style w:type="paragraph" w:customStyle="1" w:styleId="local1">
    <w:name w:val="local:1"/>
    <w:link w:val="local1Char"/>
    <w:qFormat/>
    <w:rsid w:val="00863AFE"/>
    <w:pPr>
      <w:spacing w:line="260" w:lineRule="atLeast"/>
    </w:pPr>
    <w:rPr>
      <w:rFonts w:ascii="Arial" w:eastAsia="Times New Roman" w:hAnsi="Arial" w:cs="Times New Roman"/>
      <w:kern w:val="20"/>
    </w:rPr>
  </w:style>
  <w:style w:type="character" w:customStyle="1" w:styleId="local1Char">
    <w:name w:val="local:1 Char"/>
    <w:basedOn w:val="DefaultParagraphFont"/>
    <w:link w:val="local1"/>
    <w:rsid w:val="00863AFE"/>
    <w:rPr>
      <w:rFonts w:ascii="Arial" w:eastAsia="Times New Roman" w:hAnsi="Arial" w:cs="Times New Roman"/>
      <w:kern w:val="20"/>
    </w:rPr>
  </w:style>
  <w:style w:type="paragraph" w:customStyle="1" w:styleId="margin2">
    <w:name w:val="margin:2"/>
    <w:basedOn w:val="Normal"/>
    <w:next w:val="local1"/>
    <w:link w:val="margin2Char"/>
    <w:qFormat/>
    <w:rsid w:val="00E61B55"/>
    <w:pPr>
      <w:keepNext/>
      <w:framePr w:w="2232" w:hSpace="288" w:wrap="around" w:vAnchor="text" w:hAnchor="page" w:y="1"/>
      <w:suppressAutoHyphens/>
      <w:spacing w:after="100" w:line="240" w:lineRule="auto"/>
      <w:ind w:left="245"/>
      <w:outlineLvl w:val="1"/>
    </w:pPr>
    <w:rPr>
      <w:rFonts w:ascii="Arial" w:eastAsia="Times New Roman" w:hAnsi="Arial" w:cs="Times New Roman"/>
      <w:sz w:val="22"/>
      <w:szCs w:val="22"/>
    </w:rPr>
  </w:style>
  <w:style w:type="character" w:customStyle="1" w:styleId="margin2Char">
    <w:name w:val="margin:2 Char"/>
    <w:basedOn w:val="DefaultParagraphFont"/>
    <w:link w:val="margin2"/>
    <w:locked/>
    <w:rsid w:val="00E61B55"/>
    <w:rPr>
      <w:rFonts w:ascii="Arial" w:eastAsia="Times New Roman" w:hAnsi="Arial" w:cs="Times New Roman"/>
    </w:rPr>
  </w:style>
  <w:style w:type="paragraph" w:customStyle="1" w:styleId="listX1">
    <w:name w:val="listX:1"/>
    <w:basedOn w:val="list1"/>
    <w:qFormat/>
    <w:rsid w:val="00126C3C"/>
  </w:style>
  <w:style w:type="paragraph" w:customStyle="1" w:styleId="list1">
    <w:name w:val="list:1"/>
    <w:basedOn w:val="Normal"/>
    <w:qFormat/>
    <w:rsid w:val="00126C3C"/>
    <w:pPr>
      <w:numPr>
        <w:numId w:val="5"/>
      </w:numPr>
      <w:spacing w:line="260" w:lineRule="atLeast"/>
    </w:pPr>
    <w:rPr>
      <w:rFonts w:ascii="Arial" w:eastAsia="Times New Roman" w:hAnsi="Arial" w:cs="Times New Roman"/>
      <w:kern w:val="20"/>
      <w:sz w:val="22"/>
      <w:szCs w:val="22"/>
    </w:rPr>
  </w:style>
  <w:style w:type="numbering" w:customStyle="1" w:styleId="numberedlist">
    <w:name w:val="numbered list"/>
    <w:basedOn w:val="NoList"/>
    <w:rsid w:val="00126C3C"/>
    <w:pPr>
      <w:numPr>
        <w:numId w:val="5"/>
      </w:numPr>
    </w:pPr>
  </w:style>
  <w:style w:type="paragraph" w:customStyle="1" w:styleId="list2">
    <w:name w:val="list:2"/>
    <w:basedOn w:val="list1"/>
    <w:qFormat/>
    <w:rsid w:val="00126C3C"/>
    <w:pPr>
      <w:numPr>
        <w:ilvl w:val="1"/>
      </w:numPr>
    </w:pPr>
  </w:style>
  <w:style w:type="paragraph" w:customStyle="1" w:styleId="list3">
    <w:name w:val="list:3"/>
    <w:basedOn w:val="list1"/>
    <w:qFormat/>
    <w:rsid w:val="00126C3C"/>
    <w:pPr>
      <w:numPr>
        <w:ilvl w:val="2"/>
      </w:numPr>
    </w:pPr>
  </w:style>
  <w:style w:type="paragraph" w:customStyle="1" w:styleId="list4">
    <w:name w:val="list:4"/>
    <w:basedOn w:val="list1"/>
    <w:qFormat/>
    <w:rsid w:val="00126C3C"/>
    <w:pPr>
      <w:numPr>
        <w:ilvl w:val="3"/>
      </w:numPr>
    </w:pPr>
  </w:style>
  <w:style w:type="character" w:styleId="HTMLCite">
    <w:name w:val="HTML Cite"/>
    <w:basedOn w:val="DefaultParagraphFont"/>
    <w:rsid w:val="00C00E71"/>
    <w:rPr>
      <w:i/>
      <w:iCs/>
      <w:kern w:val="20"/>
    </w:rPr>
  </w:style>
  <w:style w:type="paragraph" w:customStyle="1" w:styleId="list-level1">
    <w:name w:val="list-level1"/>
    <w:basedOn w:val="Normal"/>
    <w:rsid w:val="00D553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61108">
      <w:bodyDiv w:val="1"/>
      <w:marLeft w:val="0"/>
      <w:marRight w:val="0"/>
      <w:marTop w:val="0"/>
      <w:marBottom w:val="0"/>
      <w:divBdr>
        <w:top w:val="none" w:sz="0" w:space="0" w:color="auto"/>
        <w:left w:val="none" w:sz="0" w:space="0" w:color="auto"/>
        <w:bottom w:val="none" w:sz="0" w:space="0" w:color="auto"/>
        <w:right w:val="none" w:sz="0" w:space="0" w:color="auto"/>
      </w:divBdr>
    </w:div>
    <w:div w:id="703675112">
      <w:bodyDiv w:val="1"/>
      <w:marLeft w:val="0"/>
      <w:marRight w:val="0"/>
      <w:marTop w:val="0"/>
      <w:marBottom w:val="0"/>
      <w:divBdr>
        <w:top w:val="none" w:sz="0" w:space="0" w:color="auto"/>
        <w:left w:val="none" w:sz="0" w:space="0" w:color="auto"/>
        <w:bottom w:val="none" w:sz="0" w:space="0" w:color="auto"/>
        <w:right w:val="none" w:sz="0" w:space="0" w:color="auto"/>
      </w:divBdr>
    </w:div>
    <w:div w:id="1085491144">
      <w:bodyDiv w:val="1"/>
      <w:marLeft w:val="0"/>
      <w:marRight w:val="0"/>
      <w:marTop w:val="0"/>
      <w:marBottom w:val="0"/>
      <w:divBdr>
        <w:top w:val="none" w:sz="0" w:space="0" w:color="auto"/>
        <w:left w:val="none" w:sz="0" w:space="0" w:color="auto"/>
        <w:bottom w:val="none" w:sz="0" w:space="0" w:color="auto"/>
        <w:right w:val="none" w:sz="0" w:space="0" w:color="auto"/>
      </w:divBdr>
    </w:div>
    <w:div w:id="1402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cp:lastModifiedBy>
  <cp:revision>2</cp:revision>
  <dcterms:created xsi:type="dcterms:W3CDTF">2025-06-16T18:39:00Z</dcterms:created>
  <dcterms:modified xsi:type="dcterms:W3CDTF">2025-06-16T18:39:00Z</dcterms:modified>
</cp:coreProperties>
</file>