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973" w:type="dxa"/>
        <w:tblInd w:w="-108" w:type="dxa"/>
        <w:tblCellMar>
          <w:top w:w="40" w:type="dxa"/>
          <w:left w:w="108" w:type="dxa"/>
          <w:right w:w="82" w:type="dxa"/>
        </w:tblCellMar>
        <w:tblLook w:val="04A0" w:firstRow="1" w:lastRow="0" w:firstColumn="1" w:lastColumn="0" w:noHBand="0" w:noVBand="1"/>
      </w:tblPr>
      <w:tblGrid>
        <w:gridCol w:w="3163"/>
        <w:gridCol w:w="810"/>
      </w:tblGrid>
      <w:tr w:rsidR="00976B7C" w:rsidTr="00E537AE">
        <w:trPr>
          <w:trHeight w:val="252"/>
        </w:trPr>
        <w:tc>
          <w:tcPr>
            <w:tcW w:w="3163" w:type="dxa"/>
            <w:tcBorders>
              <w:top w:val="single" w:sz="4" w:space="0" w:color="000000"/>
              <w:left w:val="single" w:sz="4" w:space="0" w:color="000000"/>
              <w:bottom w:val="single" w:sz="4" w:space="0" w:color="000000"/>
              <w:right w:val="single" w:sz="4" w:space="0" w:color="000000"/>
            </w:tcBorders>
          </w:tcPr>
          <w:p w:rsidR="00976B7C" w:rsidRPr="002C4503" w:rsidRDefault="00976B7C" w:rsidP="002E48A9">
            <w:pPr>
              <w:spacing w:line="259" w:lineRule="auto"/>
              <w:rPr>
                <w:sz w:val="18"/>
              </w:rPr>
            </w:pPr>
            <w:r>
              <w:rPr>
                <w:sz w:val="18"/>
              </w:rPr>
              <w:t xml:space="preserve">E – </w:t>
            </w:r>
            <w:r w:rsidR="0033108D">
              <w:rPr>
                <w:sz w:val="18"/>
              </w:rPr>
              <w:t xml:space="preserve">Special Programs:  </w:t>
            </w:r>
            <w:r w:rsidR="00F85BFA">
              <w:rPr>
                <w:sz w:val="18"/>
              </w:rPr>
              <w:t>Dyslexia Training</w:t>
            </w:r>
          </w:p>
        </w:tc>
        <w:tc>
          <w:tcPr>
            <w:tcW w:w="810" w:type="dxa"/>
            <w:tcBorders>
              <w:top w:val="single" w:sz="4" w:space="0" w:color="000000"/>
              <w:left w:val="single" w:sz="4" w:space="0" w:color="000000"/>
              <w:bottom w:val="single" w:sz="4" w:space="0" w:color="000000"/>
              <w:right w:val="single" w:sz="4" w:space="0" w:color="000000"/>
            </w:tcBorders>
          </w:tcPr>
          <w:p w:rsidR="00976B7C" w:rsidRPr="0033108D" w:rsidRDefault="0033108D" w:rsidP="002E48A9">
            <w:pPr>
              <w:spacing w:line="259" w:lineRule="auto"/>
              <w:rPr>
                <w:b/>
              </w:rPr>
            </w:pPr>
            <w:r w:rsidRPr="0033108D">
              <w:rPr>
                <w:b/>
              </w:rPr>
              <w:t>EHB</w:t>
            </w:r>
          </w:p>
        </w:tc>
      </w:tr>
      <w:tr w:rsidR="00976B7C" w:rsidTr="00E537AE">
        <w:trPr>
          <w:trHeight w:val="254"/>
        </w:trPr>
        <w:tc>
          <w:tcPr>
            <w:tcW w:w="3163"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18"/>
              </w:rPr>
              <w:t xml:space="preserve">Page 1 of </w:t>
            </w:r>
            <w:r w:rsidR="00F85BFA">
              <w:rPr>
                <w:sz w:val="18"/>
              </w:rPr>
              <w:t>3</w:t>
            </w:r>
          </w:p>
        </w:tc>
        <w:tc>
          <w:tcPr>
            <w:tcW w:w="810"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20"/>
              </w:rPr>
              <w:t xml:space="preserve"> </w:t>
            </w:r>
          </w:p>
        </w:tc>
        <w:bookmarkStart w:id="0" w:name="_GoBack"/>
        <w:bookmarkEnd w:id="0"/>
      </w:tr>
      <w:tr w:rsidR="00976B7C" w:rsidTr="00E537AE">
        <w:trPr>
          <w:trHeight w:val="230"/>
        </w:trPr>
        <w:tc>
          <w:tcPr>
            <w:tcW w:w="3973" w:type="dxa"/>
            <w:gridSpan w:val="2"/>
            <w:tcBorders>
              <w:top w:val="single" w:sz="4" w:space="0" w:color="000000"/>
              <w:left w:val="single" w:sz="4" w:space="0" w:color="000000"/>
              <w:bottom w:val="single" w:sz="4" w:space="0" w:color="000000"/>
              <w:right w:val="single" w:sz="4" w:space="0" w:color="000000"/>
            </w:tcBorders>
          </w:tcPr>
          <w:p w:rsidR="00976B7C" w:rsidRPr="008032BB" w:rsidRDefault="00F85BFA" w:rsidP="002E48A9">
            <w:pPr>
              <w:spacing w:line="259" w:lineRule="auto"/>
              <w:rPr>
                <w:sz w:val="18"/>
              </w:rPr>
            </w:pPr>
            <w:r>
              <w:rPr>
                <w:sz w:val="18"/>
              </w:rPr>
              <w:t>Dyslexia Training</w:t>
            </w:r>
            <w:r w:rsidR="00E537AE">
              <w:rPr>
                <w:sz w:val="18"/>
              </w:rPr>
              <w:t xml:space="preserve"> - 2</w:t>
            </w:r>
            <w:r w:rsidR="00976B7C">
              <w:rPr>
                <w:sz w:val="18"/>
              </w:rPr>
              <w:t>02</w:t>
            </w:r>
            <w:r w:rsidR="00B34C37">
              <w:rPr>
                <w:sz w:val="18"/>
              </w:rPr>
              <w:t>4</w:t>
            </w:r>
          </w:p>
        </w:tc>
      </w:tr>
    </w:tbl>
    <w:p w:rsidR="00CF2E84" w:rsidRDefault="00CF2E84" w:rsidP="00CF2E84">
      <w:pPr>
        <w:pStyle w:val="NormalWeb"/>
        <w:shd w:val="clear" w:color="auto" w:fill="FFFFFF"/>
        <w:spacing w:before="0" w:beforeAutospacing="0" w:after="240" w:afterAutospacing="0" w:line="252" w:lineRule="atLeast"/>
        <w:rPr>
          <w:rFonts w:asciiTheme="minorHAnsi" w:hAnsiTheme="minorHAnsi" w:cstheme="minorHAnsi"/>
          <w:sz w:val="22"/>
          <w:szCs w:val="22"/>
        </w:rPr>
      </w:pPr>
    </w:p>
    <w:p w:rsidR="00CF2E84" w:rsidRPr="003160E1" w:rsidRDefault="00CF2E84" w:rsidP="00CF2E84">
      <w:pPr>
        <w:pStyle w:val="NormalWeb"/>
        <w:shd w:val="clear" w:color="auto" w:fill="FFFFFF"/>
        <w:spacing w:before="0" w:beforeAutospacing="0" w:after="240" w:afterAutospacing="0" w:line="252" w:lineRule="atLeast"/>
        <w:rPr>
          <w:rFonts w:asciiTheme="minorHAnsi" w:hAnsiTheme="minorHAnsi" w:cstheme="minorHAnsi"/>
          <w:sz w:val="22"/>
          <w:szCs w:val="22"/>
        </w:rPr>
      </w:pPr>
      <w:r w:rsidRPr="003160E1">
        <w:rPr>
          <w:rFonts w:asciiTheme="minorHAnsi" w:hAnsiTheme="minorHAnsi" w:cstheme="minorHAnsi"/>
          <w:sz w:val="22"/>
          <w:szCs w:val="22"/>
        </w:rPr>
        <w:t xml:space="preserve">The District provides regular training opportunities for teachers of students with dyslexia that include new research and practices for educating students with dyslexia.  </w:t>
      </w:r>
    </w:p>
    <w:p w:rsidR="00CF2E84" w:rsidRPr="003160E1" w:rsidRDefault="00CF2E84" w:rsidP="00CF2E84">
      <w:pPr>
        <w:spacing w:before="303" w:after="0" w:line="240" w:lineRule="auto"/>
        <w:ind w:left="8"/>
        <w:rPr>
          <w:rFonts w:cstheme="minorHAnsi"/>
          <w:color w:val="000000"/>
          <w:sz w:val="22"/>
          <w:szCs w:val="22"/>
        </w:rPr>
      </w:pPr>
      <w:r w:rsidRPr="003160E1">
        <w:rPr>
          <w:rFonts w:cstheme="minorHAnsi"/>
          <w:color w:val="000000"/>
          <w:sz w:val="22"/>
          <w:szCs w:val="22"/>
        </w:rPr>
        <w:t>South San ISD has a partnership with The Scottish Rite Learning Center of South Texas Dyslexia Therapist Training Program.</w:t>
      </w:r>
    </w:p>
    <w:p w:rsidR="00CF2E84" w:rsidRPr="003160E1" w:rsidRDefault="00CF2E84" w:rsidP="00CF2E84">
      <w:pPr>
        <w:spacing w:before="303" w:after="0" w:line="240" w:lineRule="auto"/>
        <w:ind w:left="8"/>
        <w:rPr>
          <w:rFonts w:cstheme="minorHAnsi"/>
          <w:color w:val="000000"/>
          <w:sz w:val="22"/>
          <w:szCs w:val="22"/>
        </w:rPr>
      </w:pPr>
      <w:r w:rsidRPr="003160E1">
        <w:rPr>
          <w:rFonts w:cstheme="minorHAnsi"/>
          <w:color w:val="000000"/>
          <w:sz w:val="22"/>
          <w:szCs w:val="22"/>
        </w:rPr>
        <w:t>Educators providing services to students with a diagnosis of dyslexia in South San ISD will attend the training outlined in this document.</w:t>
      </w:r>
    </w:p>
    <w:p w:rsidR="00CF2E84" w:rsidRPr="003160E1" w:rsidRDefault="00CF2E84" w:rsidP="00CF2E84">
      <w:pPr>
        <w:spacing w:before="303" w:after="0" w:line="240" w:lineRule="auto"/>
        <w:ind w:left="8"/>
        <w:rPr>
          <w:rFonts w:cstheme="minorHAnsi"/>
          <w:color w:val="000000"/>
          <w:sz w:val="22"/>
          <w:szCs w:val="22"/>
        </w:rPr>
      </w:pPr>
      <w:r w:rsidRPr="003160E1">
        <w:rPr>
          <w:rFonts w:cstheme="minorHAnsi"/>
          <w:color w:val="000000"/>
          <w:sz w:val="22"/>
          <w:szCs w:val="22"/>
        </w:rPr>
        <w:t xml:space="preserve">Teachers attending this training will have the opportunity to become fully licensed Certified Academic Language Therapists (CALT). They also have the option to simply be at a practitioner level with SSISD. </w:t>
      </w:r>
    </w:p>
    <w:p w:rsidR="00CF2E84" w:rsidRPr="003160E1" w:rsidRDefault="00CF2E84" w:rsidP="00CF2E84">
      <w:pPr>
        <w:spacing w:before="303" w:after="0" w:line="240" w:lineRule="auto"/>
        <w:ind w:left="8"/>
        <w:rPr>
          <w:rFonts w:eastAsia="Times New Roman" w:cstheme="minorHAnsi"/>
          <w:b/>
          <w:bCs/>
          <w:color w:val="000000"/>
          <w:sz w:val="22"/>
          <w:szCs w:val="22"/>
        </w:rPr>
      </w:pPr>
      <w:r w:rsidRPr="003160E1">
        <w:rPr>
          <w:rFonts w:cstheme="minorHAnsi"/>
          <w:color w:val="000000"/>
          <w:sz w:val="22"/>
          <w:szCs w:val="22"/>
        </w:rPr>
        <w:t xml:space="preserve">This two-year comprehensive training is designed for teachers of students with dyslexia using research based, proven intervention techniques and is accredited by the </w:t>
      </w:r>
      <w:r w:rsidRPr="003160E1">
        <w:rPr>
          <w:rFonts w:cstheme="minorHAnsi"/>
          <w:color w:val="000000"/>
          <w:sz w:val="22"/>
          <w:szCs w:val="22"/>
          <w:u w:val="single"/>
        </w:rPr>
        <w:t>International Multisensory Structured Language Educational Council</w:t>
      </w:r>
      <w:r w:rsidRPr="003160E1">
        <w:rPr>
          <w:rFonts w:cstheme="minorHAnsi"/>
          <w:color w:val="000000"/>
          <w:sz w:val="22"/>
          <w:szCs w:val="22"/>
        </w:rPr>
        <w:t xml:space="preserve"> (IMSLEC). Credit toward a Masters in Special Education Specializing in Dyslexia is available through several Universities.</w:t>
      </w:r>
    </w:p>
    <w:p w:rsidR="00CF2E84" w:rsidRPr="003160E1" w:rsidRDefault="00CF2E84" w:rsidP="00CF2E84">
      <w:pPr>
        <w:spacing w:before="303" w:after="0" w:line="240" w:lineRule="auto"/>
        <w:ind w:left="8"/>
        <w:rPr>
          <w:rFonts w:eastAsia="Times New Roman" w:cstheme="minorHAnsi"/>
          <w:sz w:val="22"/>
          <w:szCs w:val="22"/>
        </w:rPr>
      </w:pPr>
      <w:r w:rsidRPr="003160E1">
        <w:rPr>
          <w:rFonts w:eastAsia="Times New Roman" w:cstheme="minorHAnsi"/>
          <w:b/>
          <w:bCs/>
          <w:color w:val="000000"/>
          <w:sz w:val="22"/>
          <w:szCs w:val="22"/>
        </w:rPr>
        <w:t>The program offers training in</w:t>
      </w:r>
      <w:r w:rsidRPr="003160E1">
        <w:rPr>
          <w:rFonts w:eastAsia="Times New Roman" w:cstheme="minorHAnsi"/>
          <w:color w:val="000000"/>
          <w:sz w:val="22"/>
          <w:szCs w:val="22"/>
        </w:rPr>
        <w:t>: </w:t>
      </w:r>
    </w:p>
    <w:p w:rsidR="00CF2E84" w:rsidRPr="003160E1" w:rsidRDefault="00CF2E84" w:rsidP="00CF2E84">
      <w:pPr>
        <w:spacing w:before="34" w:after="0" w:line="240" w:lineRule="auto"/>
        <w:ind w:left="382"/>
        <w:rPr>
          <w:rFonts w:eastAsia="Times New Roman" w:cstheme="minorHAnsi"/>
          <w:sz w:val="22"/>
          <w:szCs w:val="22"/>
        </w:rPr>
      </w:pPr>
      <w:r w:rsidRPr="003160E1">
        <w:rPr>
          <w:rFonts w:eastAsia="Times New Roman" w:cstheme="minorHAnsi"/>
          <w:color w:val="000000"/>
          <w:sz w:val="22"/>
          <w:szCs w:val="22"/>
        </w:rPr>
        <w:t>● Educational identification of dyslexia </w:t>
      </w:r>
    </w:p>
    <w:p w:rsidR="00CF2E84" w:rsidRPr="003160E1" w:rsidRDefault="00CF2E84" w:rsidP="00CF2E84">
      <w:pPr>
        <w:spacing w:before="34" w:after="0" w:line="240" w:lineRule="auto"/>
        <w:ind w:left="382"/>
        <w:rPr>
          <w:rFonts w:eastAsia="Times New Roman" w:cstheme="minorHAnsi"/>
          <w:sz w:val="22"/>
          <w:szCs w:val="22"/>
        </w:rPr>
      </w:pPr>
      <w:r w:rsidRPr="003160E1">
        <w:rPr>
          <w:rFonts w:eastAsia="Times New Roman" w:cstheme="minorHAnsi"/>
          <w:color w:val="000000"/>
          <w:sz w:val="22"/>
          <w:szCs w:val="22"/>
        </w:rPr>
        <w:t>● Characteristics of dyslexia </w:t>
      </w:r>
    </w:p>
    <w:p w:rsidR="00CF2E84" w:rsidRPr="003160E1" w:rsidRDefault="00CF2E84" w:rsidP="00CF2E84">
      <w:pPr>
        <w:spacing w:before="34" w:after="0" w:line="240" w:lineRule="auto"/>
        <w:ind w:left="382" w:right="404" w:hanging="348"/>
        <w:rPr>
          <w:rFonts w:eastAsia="Times New Roman" w:cstheme="minorHAnsi"/>
          <w:sz w:val="22"/>
          <w:szCs w:val="22"/>
        </w:rPr>
      </w:pPr>
      <w:r w:rsidRPr="003160E1">
        <w:rPr>
          <w:rFonts w:eastAsia="Times New Roman" w:cstheme="minorHAnsi"/>
          <w:color w:val="000000"/>
          <w:sz w:val="22"/>
          <w:szCs w:val="22"/>
        </w:rPr>
        <w:tab/>
        <w:t xml:space="preserve">● </w:t>
      </w:r>
      <w:r w:rsidRPr="003160E1">
        <w:rPr>
          <w:rFonts w:eastAsia="Times New Roman" w:cstheme="minorHAnsi"/>
          <w:i/>
          <w:iCs/>
          <w:color w:val="000000"/>
          <w:sz w:val="22"/>
          <w:szCs w:val="22"/>
        </w:rPr>
        <w:t>Take Flight: A Comprehensive Intervention for Students with Dyslexia</w:t>
      </w:r>
      <w:r w:rsidRPr="003160E1">
        <w:rPr>
          <w:rFonts w:eastAsia="Times New Roman" w:cstheme="minorHAnsi"/>
          <w:color w:val="000000"/>
          <w:sz w:val="22"/>
          <w:szCs w:val="22"/>
        </w:rPr>
        <w:t>, a multisensory, structured approach to teaching developed at Scottish Rite for Children </w:t>
      </w:r>
    </w:p>
    <w:p w:rsidR="00CF2E84" w:rsidRPr="003160E1" w:rsidRDefault="00CF2E84" w:rsidP="00CF2E84">
      <w:pPr>
        <w:spacing w:before="12" w:after="0" w:line="240" w:lineRule="auto"/>
        <w:ind w:left="382" w:right="2032"/>
        <w:rPr>
          <w:rFonts w:eastAsia="Times New Roman" w:cstheme="minorHAnsi"/>
          <w:color w:val="000000"/>
          <w:sz w:val="22"/>
          <w:szCs w:val="22"/>
        </w:rPr>
      </w:pPr>
      <w:r w:rsidRPr="003160E1">
        <w:rPr>
          <w:rFonts w:eastAsia="Times New Roman" w:cstheme="minorHAnsi"/>
          <w:color w:val="000000"/>
          <w:sz w:val="22"/>
          <w:szCs w:val="22"/>
        </w:rPr>
        <w:t>● Classroom strategies and techniques used for students with dyslexia</w:t>
      </w:r>
    </w:p>
    <w:p w:rsidR="00CF2E84" w:rsidRPr="003160E1" w:rsidRDefault="00CF2E84" w:rsidP="00CF2E84">
      <w:pPr>
        <w:spacing w:before="12" w:after="0" w:line="240" w:lineRule="auto"/>
        <w:ind w:left="382" w:right="2032"/>
        <w:rPr>
          <w:rFonts w:eastAsia="Times New Roman" w:cstheme="minorHAnsi"/>
          <w:sz w:val="22"/>
          <w:szCs w:val="22"/>
        </w:rPr>
      </w:pPr>
      <w:r w:rsidRPr="003160E1">
        <w:rPr>
          <w:rFonts w:eastAsia="Times New Roman" w:cstheme="minorHAnsi"/>
          <w:color w:val="000000"/>
          <w:sz w:val="22"/>
          <w:szCs w:val="22"/>
        </w:rPr>
        <w:t>● Presentation of parent and teacher information seminars </w:t>
      </w:r>
    </w:p>
    <w:p w:rsidR="00CF2E84" w:rsidRPr="003160E1" w:rsidRDefault="00CF2E84" w:rsidP="00CF2E84">
      <w:pPr>
        <w:spacing w:before="303" w:after="0" w:line="240" w:lineRule="auto"/>
        <w:ind w:left="3" w:right="202" w:firstLine="5"/>
        <w:rPr>
          <w:rFonts w:eastAsia="Times New Roman" w:cstheme="minorHAnsi"/>
          <w:color w:val="000000"/>
          <w:sz w:val="22"/>
          <w:szCs w:val="22"/>
        </w:rPr>
      </w:pPr>
      <w:r w:rsidRPr="003160E1">
        <w:rPr>
          <w:rFonts w:eastAsia="Times New Roman" w:cstheme="minorHAnsi"/>
          <w:color w:val="000000"/>
          <w:sz w:val="22"/>
          <w:szCs w:val="22"/>
        </w:rPr>
        <w:t xml:space="preserve">Training participants can expect a rigorous and intensive training program with outside reading and/or written homework assignments and authentic opportunities to demonstrate mastery. </w:t>
      </w:r>
    </w:p>
    <w:p w:rsidR="00CF2E84" w:rsidRPr="003160E1" w:rsidRDefault="00CF2E84" w:rsidP="00CF2E84">
      <w:pPr>
        <w:spacing w:before="303" w:after="0" w:line="240" w:lineRule="auto"/>
        <w:ind w:left="3" w:right="202" w:firstLine="5"/>
        <w:rPr>
          <w:rFonts w:eastAsia="Times New Roman" w:cstheme="minorHAnsi"/>
          <w:color w:val="000000"/>
          <w:sz w:val="22"/>
          <w:szCs w:val="22"/>
        </w:rPr>
      </w:pPr>
      <w:r w:rsidRPr="003160E1">
        <w:rPr>
          <w:rFonts w:eastAsia="Times New Roman" w:cstheme="minorHAnsi"/>
          <w:color w:val="000000"/>
          <w:sz w:val="22"/>
          <w:szCs w:val="22"/>
        </w:rPr>
        <w:t xml:space="preserve">Graduates of the Dyslexia Therapist Training Program will receive a certificate of completion with the title of </w:t>
      </w:r>
      <w:r w:rsidRPr="003160E1">
        <w:rPr>
          <w:rFonts w:eastAsia="Times New Roman" w:cstheme="minorHAnsi"/>
          <w:b/>
          <w:color w:val="000000"/>
          <w:sz w:val="22"/>
          <w:szCs w:val="22"/>
          <w:u w:val="single"/>
        </w:rPr>
        <w:t>Dyslexia Therapist</w:t>
      </w:r>
      <w:r w:rsidRPr="003160E1">
        <w:rPr>
          <w:rFonts w:eastAsia="Times New Roman" w:cstheme="minorHAnsi"/>
          <w:color w:val="000000"/>
          <w:sz w:val="22"/>
          <w:szCs w:val="22"/>
        </w:rPr>
        <w:t>. Graduates who hold a Master’s degree will be eligible to sit for the Alliance National Registration Exam, administered by the Academic Language Therapy Association (ALTA), to become Certified Academic Language Therapists (CALTs). Graduates who successfully complete the Alliance National Registration Exam will also be eligible to apply</w:t>
      </w:r>
      <w:r w:rsidRPr="003160E1">
        <w:rPr>
          <w:rFonts w:eastAsia="Times New Roman" w:cstheme="minorHAnsi"/>
          <w:sz w:val="22"/>
          <w:szCs w:val="22"/>
        </w:rPr>
        <w:t xml:space="preserve"> </w:t>
      </w:r>
      <w:r w:rsidRPr="003160E1">
        <w:rPr>
          <w:rFonts w:eastAsia="Times New Roman" w:cstheme="minorHAnsi"/>
          <w:color w:val="000000"/>
          <w:sz w:val="22"/>
          <w:szCs w:val="22"/>
        </w:rPr>
        <w:t>to become a Licensed Dyslexia Therapist, as defined by Texas HB 461, (2009 Session of the Texas Legislature). </w:t>
      </w:r>
    </w:p>
    <w:p w:rsidR="00CF2E84" w:rsidRPr="003160E1" w:rsidRDefault="00CF2E84" w:rsidP="00CF2E84">
      <w:pPr>
        <w:spacing w:before="303" w:after="0" w:line="240" w:lineRule="auto"/>
        <w:ind w:left="3" w:right="202" w:firstLine="5"/>
        <w:rPr>
          <w:rFonts w:eastAsia="Times New Roman" w:cstheme="minorHAnsi"/>
          <w:color w:val="000000"/>
          <w:sz w:val="22"/>
          <w:szCs w:val="22"/>
        </w:rPr>
      </w:pPr>
    </w:p>
    <w:p w:rsidR="00CF2E84" w:rsidRPr="003160E1" w:rsidRDefault="00CF2E84" w:rsidP="00CF2E84">
      <w:pPr>
        <w:spacing w:before="303" w:after="0" w:line="240" w:lineRule="auto"/>
        <w:ind w:left="4" w:right="285" w:firstLine="27"/>
        <w:jc w:val="center"/>
        <w:rPr>
          <w:rFonts w:eastAsia="Times New Roman" w:cstheme="minorHAnsi"/>
          <w:sz w:val="22"/>
          <w:szCs w:val="22"/>
        </w:rPr>
      </w:pPr>
      <w:r w:rsidRPr="003160E1">
        <w:rPr>
          <w:rFonts w:eastAsia="Times New Roman" w:cstheme="minorHAnsi"/>
          <w:b/>
          <w:iCs/>
          <w:color w:val="000000"/>
          <w:sz w:val="22"/>
          <w:szCs w:val="22"/>
        </w:rPr>
        <w:lastRenderedPageBreak/>
        <w:t xml:space="preserve">Curriculum: </w:t>
      </w:r>
      <w:r w:rsidRPr="003160E1">
        <w:rPr>
          <w:rFonts w:eastAsia="Times New Roman" w:cstheme="minorHAnsi"/>
          <w:b/>
          <w:i/>
          <w:iCs/>
          <w:color w:val="000000"/>
          <w:sz w:val="22"/>
          <w:szCs w:val="22"/>
        </w:rPr>
        <w:t xml:space="preserve">Take Flight: A Comprehensive Intervention for Students with Dyslexia </w:t>
      </w:r>
    </w:p>
    <w:p w:rsidR="00CF2E84" w:rsidRPr="003160E1" w:rsidRDefault="00CF2E84" w:rsidP="00CF2E84">
      <w:pPr>
        <w:spacing w:before="303" w:after="0" w:line="240" w:lineRule="auto"/>
        <w:ind w:left="11" w:right="352" w:firstLine="19"/>
        <w:rPr>
          <w:rFonts w:eastAsia="Times New Roman" w:cstheme="minorHAnsi"/>
          <w:sz w:val="22"/>
          <w:szCs w:val="22"/>
        </w:rPr>
      </w:pPr>
      <w:r w:rsidRPr="003160E1">
        <w:rPr>
          <w:rFonts w:eastAsia="Times New Roman" w:cstheme="minorHAnsi"/>
          <w:i/>
          <w:iCs/>
          <w:color w:val="000000"/>
          <w:sz w:val="22"/>
          <w:szCs w:val="22"/>
        </w:rPr>
        <w:t xml:space="preserve">Take Flight </w:t>
      </w:r>
      <w:r w:rsidRPr="003160E1">
        <w:rPr>
          <w:rFonts w:eastAsia="Times New Roman" w:cstheme="minorHAnsi"/>
          <w:color w:val="000000"/>
          <w:sz w:val="22"/>
          <w:szCs w:val="22"/>
        </w:rPr>
        <w:t xml:space="preserve">is designed for small group instruction (no more than four-six students) for a minimum of 45 minutes per day, five days each week. Alternatively, lessons can be taught for 60 minutes each day for four days a week. </w:t>
      </w:r>
      <w:r w:rsidRPr="003160E1">
        <w:rPr>
          <w:rFonts w:eastAsia="Times New Roman" w:cstheme="minorHAnsi"/>
          <w:i/>
          <w:iCs/>
          <w:color w:val="000000"/>
          <w:sz w:val="22"/>
          <w:szCs w:val="22"/>
        </w:rPr>
        <w:t xml:space="preserve">Take Flight </w:t>
      </w:r>
      <w:r w:rsidRPr="003160E1">
        <w:rPr>
          <w:rFonts w:eastAsia="Times New Roman" w:cstheme="minorHAnsi"/>
          <w:color w:val="000000"/>
          <w:sz w:val="22"/>
          <w:szCs w:val="22"/>
        </w:rPr>
        <w:t>includes 132 lessons for a total of 230 hours of direct instruction. </w:t>
      </w:r>
    </w:p>
    <w:p w:rsidR="00CF2E84" w:rsidRDefault="00CF2E84" w:rsidP="00CF2E84">
      <w:pPr>
        <w:spacing w:before="303" w:after="0" w:line="240" w:lineRule="auto"/>
        <w:ind w:left="20" w:right="772" w:firstLine="11"/>
        <w:rPr>
          <w:rFonts w:eastAsia="Times New Roman" w:cstheme="minorHAnsi"/>
          <w:color w:val="000000"/>
          <w:sz w:val="22"/>
          <w:szCs w:val="22"/>
        </w:rPr>
      </w:pPr>
      <w:r w:rsidRPr="003160E1">
        <w:rPr>
          <w:rFonts w:eastAsia="Times New Roman" w:cstheme="minorHAnsi"/>
          <w:i/>
          <w:iCs/>
          <w:color w:val="000000"/>
          <w:sz w:val="22"/>
          <w:szCs w:val="22"/>
        </w:rPr>
        <w:t xml:space="preserve">Take Flight </w:t>
      </w:r>
      <w:r w:rsidRPr="003160E1">
        <w:rPr>
          <w:rFonts w:eastAsia="Times New Roman" w:cstheme="minorHAnsi"/>
          <w:color w:val="000000"/>
          <w:sz w:val="22"/>
          <w:szCs w:val="22"/>
        </w:rPr>
        <w:t>contains the five components of effective reading instruction supported by the National Reading Panel research meta-analysis: </w:t>
      </w:r>
    </w:p>
    <w:p w:rsidR="00CF2E84" w:rsidRPr="00CF2E84" w:rsidRDefault="00CF2E84" w:rsidP="00CF2E84">
      <w:pPr>
        <w:spacing w:before="303" w:after="0" w:line="240" w:lineRule="auto"/>
        <w:ind w:left="20" w:right="772" w:firstLine="11"/>
        <w:rPr>
          <w:rFonts w:eastAsia="Times New Roman" w:cstheme="minorHAnsi"/>
          <w:color w:val="000000"/>
          <w:sz w:val="16"/>
          <w:szCs w:val="16"/>
        </w:rPr>
      </w:pPr>
    </w:p>
    <w:p w:rsidR="00CF2E84" w:rsidRPr="003160E1" w:rsidRDefault="00CF2E84" w:rsidP="00CF2E84">
      <w:pPr>
        <w:spacing w:before="12" w:after="0" w:line="240" w:lineRule="auto"/>
        <w:ind w:left="382" w:right="252"/>
        <w:rPr>
          <w:rFonts w:eastAsia="Times New Roman" w:cstheme="minorHAnsi"/>
          <w:color w:val="000000"/>
          <w:sz w:val="22"/>
          <w:szCs w:val="22"/>
        </w:rPr>
      </w:pPr>
      <w:r w:rsidRPr="003160E1">
        <w:rPr>
          <w:rFonts w:eastAsia="Times New Roman" w:cstheme="minorHAnsi"/>
          <w:b/>
          <w:color w:val="000000"/>
          <w:sz w:val="22"/>
          <w:szCs w:val="22"/>
          <w:u w:val="single"/>
        </w:rPr>
        <w:t xml:space="preserve">1. </w:t>
      </w:r>
      <w:r w:rsidRPr="003160E1">
        <w:rPr>
          <w:rFonts w:eastAsia="Times New Roman" w:cstheme="minorHAnsi"/>
          <w:b/>
          <w:bCs/>
          <w:color w:val="000000"/>
          <w:sz w:val="22"/>
          <w:szCs w:val="22"/>
          <w:u w:val="single"/>
        </w:rPr>
        <w:t>Phonemic Awareness</w:t>
      </w:r>
      <w:r w:rsidRPr="003160E1">
        <w:rPr>
          <w:rFonts w:eastAsia="Times New Roman" w:cstheme="minorHAnsi"/>
          <w:b/>
          <w:bCs/>
          <w:color w:val="000000"/>
          <w:sz w:val="22"/>
          <w:szCs w:val="22"/>
        </w:rPr>
        <w:t xml:space="preserve"> </w:t>
      </w:r>
      <w:r w:rsidRPr="003160E1">
        <w:rPr>
          <w:rFonts w:eastAsia="Times New Roman" w:cstheme="minorHAnsi"/>
          <w:color w:val="000000"/>
          <w:sz w:val="22"/>
          <w:szCs w:val="22"/>
        </w:rPr>
        <w:t xml:space="preserve">in </w:t>
      </w:r>
      <w:r w:rsidRPr="003160E1">
        <w:rPr>
          <w:rFonts w:eastAsia="Times New Roman" w:cstheme="minorHAnsi"/>
          <w:i/>
          <w:iCs/>
          <w:color w:val="000000"/>
          <w:sz w:val="22"/>
          <w:szCs w:val="22"/>
        </w:rPr>
        <w:t xml:space="preserve">Take Flight </w:t>
      </w:r>
      <w:r w:rsidRPr="003160E1">
        <w:rPr>
          <w:rFonts w:eastAsia="Times New Roman" w:cstheme="minorHAnsi"/>
          <w:color w:val="000000"/>
          <w:sz w:val="22"/>
          <w:szCs w:val="22"/>
        </w:rPr>
        <w:t xml:space="preserve">includes a systematic exploration of the articulation of phonemes and is fully integrated within decoding and spelling instruction. All phoneme-grapheme correspondence rules are explicitly introduced allowing time for practice toward accuracy and automaticity in the application of </w:t>
      </w:r>
      <w:r w:rsidRPr="003160E1">
        <w:rPr>
          <w:rFonts w:eastAsia="Times New Roman" w:cstheme="minorHAnsi"/>
          <w:b/>
          <w:color w:val="000000"/>
          <w:sz w:val="22"/>
          <w:szCs w:val="22"/>
          <w:u w:val="single"/>
        </w:rPr>
        <w:t>2.</w:t>
      </w:r>
      <w:r w:rsidRPr="003160E1">
        <w:rPr>
          <w:rFonts w:eastAsia="Times New Roman" w:cstheme="minorHAnsi"/>
          <w:color w:val="000000"/>
          <w:sz w:val="22"/>
          <w:szCs w:val="22"/>
          <w:u w:val="single"/>
        </w:rPr>
        <w:t xml:space="preserve"> </w:t>
      </w:r>
      <w:r w:rsidRPr="003160E1">
        <w:rPr>
          <w:rFonts w:eastAsia="Times New Roman" w:cstheme="minorHAnsi"/>
          <w:b/>
          <w:bCs/>
          <w:color w:val="000000"/>
          <w:sz w:val="22"/>
          <w:szCs w:val="22"/>
          <w:u w:val="single"/>
        </w:rPr>
        <w:t>phonic skills</w:t>
      </w:r>
      <w:r w:rsidRPr="003160E1">
        <w:rPr>
          <w:rFonts w:eastAsia="Times New Roman" w:cstheme="minorHAnsi"/>
          <w:b/>
          <w:bCs/>
          <w:color w:val="000000"/>
          <w:sz w:val="22"/>
          <w:szCs w:val="22"/>
        </w:rPr>
        <w:t xml:space="preserve"> </w:t>
      </w:r>
      <w:r w:rsidRPr="003160E1">
        <w:rPr>
          <w:rFonts w:eastAsia="Times New Roman" w:cstheme="minorHAnsi"/>
          <w:color w:val="000000"/>
          <w:sz w:val="22"/>
          <w:szCs w:val="22"/>
        </w:rPr>
        <w:t>and for more guided reading practice with controlled and regular text. There is also expanded use of etymology in teaching word analysis strategies. </w:t>
      </w:r>
    </w:p>
    <w:p w:rsidR="00CF2E84" w:rsidRPr="003160E1" w:rsidRDefault="00CF2E84" w:rsidP="00CF2E84">
      <w:pPr>
        <w:spacing w:before="12" w:after="0" w:line="240" w:lineRule="auto"/>
        <w:ind w:left="382" w:right="252"/>
        <w:rPr>
          <w:rFonts w:eastAsia="Times New Roman" w:cstheme="minorHAnsi"/>
          <w:color w:val="000000"/>
          <w:sz w:val="22"/>
          <w:szCs w:val="22"/>
        </w:rPr>
      </w:pPr>
      <w:r w:rsidRPr="003160E1">
        <w:rPr>
          <w:rFonts w:eastAsia="Times New Roman" w:cstheme="minorHAnsi"/>
          <w:b/>
          <w:color w:val="000000"/>
          <w:sz w:val="22"/>
          <w:szCs w:val="22"/>
          <w:u w:val="single"/>
        </w:rPr>
        <w:t xml:space="preserve">3. </w:t>
      </w:r>
      <w:r w:rsidRPr="003160E1">
        <w:rPr>
          <w:rFonts w:eastAsia="Times New Roman" w:cstheme="minorHAnsi"/>
          <w:b/>
          <w:bCs/>
          <w:color w:val="000000"/>
          <w:sz w:val="22"/>
          <w:szCs w:val="22"/>
          <w:u w:val="single"/>
        </w:rPr>
        <w:t>Vocabulary</w:t>
      </w:r>
      <w:r w:rsidRPr="003160E1">
        <w:rPr>
          <w:rFonts w:eastAsia="Times New Roman" w:cstheme="minorHAnsi"/>
          <w:b/>
          <w:bCs/>
          <w:color w:val="000000"/>
          <w:sz w:val="22"/>
          <w:szCs w:val="22"/>
        </w:rPr>
        <w:t xml:space="preserve"> </w:t>
      </w:r>
      <w:r w:rsidRPr="003160E1">
        <w:rPr>
          <w:rFonts w:eastAsia="Times New Roman" w:cstheme="minorHAnsi"/>
          <w:color w:val="000000"/>
          <w:sz w:val="22"/>
          <w:szCs w:val="22"/>
        </w:rPr>
        <w:t>is expanded and enriched by developing morphological knowledge, word relationships, figurative language, syntax, and semantics by direct instruction and in the context of reading. </w:t>
      </w:r>
    </w:p>
    <w:p w:rsidR="00CF2E84" w:rsidRPr="003160E1" w:rsidRDefault="00CF2E84" w:rsidP="00CF2E84">
      <w:pPr>
        <w:spacing w:before="12" w:after="0" w:line="240" w:lineRule="auto"/>
        <w:ind w:left="382" w:right="419" w:hanging="342"/>
        <w:rPr>
          <w:rFonts w:eastAsia="Times New Roman" w:cstheme="minorHAnsi"/>
          <w:sz w:val="22"/>
          <w:szCs w:val="22"/>
        </w:rPr>
      </w:pPr>
      <w:r w:rsidRPr="003160E1">
        <w:rPr>
          <w:rFonts w:eastAsia="Times New Roman" w:cstheme="minorHAnsi"/>
          <w:color w:val="000000"/>
          <w:sz w:val="22"/>
          <w:szCs w:val="22"/>
        </w:rPr>
        <w:tab/>
      </w:r>
      <w:r w:rsidRPr="003160E1">
        <w:rPr>
          <w:rFonts w:eastAsia="Times New Roman" w:cstheme="minorHAnsi"/>
          <w:b/>
          <w:color w:val="000000"/>
          <w:sz w:val="22"/>
          <w:szCs w:val="22"/>
          <w:u w:val="single"/>
        </w:rPr>
        <w:t xml:space="preserve">4. </w:t>
      </w:r>
      <w:r w:rsidRPr="003160E1">
        <w:rPr>
          <w:rFonts w:eastAsia="Times New Roman" w:cstheme="minorHAnsi"/>
          <w:b/>
          <w:bCs/>
          <w:color w:val="000000"/>
          <w:sz w:val="22"/>
          <w:szCs w:val="22"/>
          <w:u w:val="single"/>
        </w:rPr>
        <w:t>Fluency</w:t>
      </w:r>
      <w:r w:rsidRPr="003160E1">
        <w:rPr>
          <w:rFonts w:eastAsia="Times New Roman" w:cstheme="minorHAnsi"/>
          <w:b/>
          <w:bCs/>
          <w:color w:val="000000"/>
          <w:sz w:val="22"/>
          <w:szCs w:val="22"/>
        </w:rPr>
        <w:t xml:space="preserve"> </w:t>
      </w:r>
      <w:r w:rsidRPr="003160E1">
        <w:rPr>
          <w:rFonts w:eastAsia="Times New Roman" w:cstheme="minorHAnsi"/>
          <w:color w:val="000000"/>
          <w:sz w:val="22"/>
          <w:szCs w:val="22"/>
        </w:rPr>
        <w:t>instruction incorporates guided and timed repeated reading of decodable words, phrases, and connected text. Incentives, concrete measures of progress, and daily home practice are also important elements of fluency training. </w:t>
      </w:r>
    </w:p>
    <w:p w:rsidR="00CF2E84" w:rsidRPr="003160E1" w:rsidRDefault="00CF2E84" w:rsidP="00CF2E84">
      <w:pPr>
        <w:spacing w:before="12" w:after="0" w:line="240" w:lineRule="auto"/>
        <w:ind w:left="382" w:right="289" w:hanging="348"/>
        <w:rPr>
          <w:rFonts w:eastAsia="Times New Roman" w:cstheme="minorHAnsi"/>
          <w:sz w:val="22"/>
          <w:szCs w:val="22"/>
        </w:rPr>
      </w:pPr>
      <w:r w:rsidRPr="003160E1">
        <w:rPr>
          <w:rFonts w:eastAsia="Times New Roman" w:cstheme="minorHAnsi"/>
          <w:color w:val="000000"/>
          <w:sz w:val="22"/>
          <w:szCs w:val="22"/>
        </w:rPr>
        <w:tab/>
        <w:t xml:space="preserve"> A combination of techniques is used for instruction in </w:t>
      </w:r>
      <w:r w:rsidRPr="003160E1">
        <w:rPr>
          <w:rFonts w:eastAsia="Times New Roman" w:cstheme="minorHAnsi"/>
          <w:b/>
          <w:color w:val="000000"/>
          <w:sz w:val="22"/>
          <w:szCs w:val="22"/>
          <w:u w:val="single"/>
        </w:rPr>
        <w:t xml:space="preserve">5. </w:t>
      </w:r>
      <w:r w:rsidRPr="003160E1">
        <w:rPr>
          <w:rFonts w:eastAsia="Times New Roman" w:cstheme="minorHAnsi"/>
          <w:b/>
          <w:bCs/>
          <w:color w:val="000000"/>
          <w:sz w:val="22"/>
          <w:szCs w:val="22"/>
          <w:u w:val="single"/>
        </w:rPr>
        <w:t>reading comprehension</w:t>
      </w:r>
      <w:r w:rsidRPr="003160E1">
        <w:rPr>
          <w:rFonts w:eastAsia="Times New Roman" w:cstheme="minorHAnsi"/>
          <w:color w:val="000000"/>
          <w:sz w:val="22"/>
          <w:szCs w:val="22"/>
        </w:rPr>
        <w:t>, including comprehension monitoring, question generalization, story structure, summarizing, and inferencing. Students also learn how to utilize graphic and semantic organizers when reading narrative and expository texts. </w:t>
      </w:r>
    </w:p>
    <w:p w:rsidR="00CF2E84" w:rsidRPr="003160E1" w:rsidRDefault="00CF2E84" w:rsidP="00CF2E84">
      <w:pPr>
        <w:spacing w:before="303" w:after="0" w:line="240" w:lineRule="auto"/>
        <w:ind w:left="11" w:right="715" w:firstLine="19"/>
        <w:rPr>
          <w:rFonts w:eastAsia="Times New Roman" w:cstheme="minorHAnsi"/>
          <w:color w:val="000000"/>
          <w:sz w:val="22"/>
          <w:szCs w:val="22"/>
        </w:rPr>
      </w:pPr>
      <w:r w:rsidRPr="003160E1">
        <w:rPr>
          <w:rFonts w:eastAsia="Times New Roman" w:cstheme="minorHAnsi"/>
          <w:i/>
          <w:iCs/>
          <w:color w:val="000000"/>
          <w:sz w:val="22"/>
          <w:szCs w:val="22"/>
        </w:rPr>
        <w:t xml:space="preserve">Take Flight </w:t>
      </w:r>
      <w:r w:rsidRPr="003160E1">
        <w:rPr>
          <w:rFonts w:eastAsia="Times New Roman" w:cstheme="minorHAnsi"/>
          <w:color w:val="000000"/>
          <w:sz w:val="22"/>
          <w:szCs w:val="22"/>
        </w:rPr>
        <w:t xml:space="preserve">also aligns with the </w:t>
      </w:r>
      <w:r w:rsidRPr="003160E1">
        <w:rPr>
          <w:rFonts w:eastAsia="Times New Roman" w:cstheme="minorHAnsi"/>
          <w:i/>
          <w:iCs/>
          <w:color w:val="000000"/>
          <w:sz w:val="22"/>
          <w:szCs w:val="22"/>
        </w:rPr>
        <w:t>Dyslexia Handbook, 20</w:t>
      </w:r>
      <w:r w:rsidR="003964BC">
        <w:rPr>
          <w:rFonts w:eastAsia="Times New Roman" w:cstheme="minorHAnsi"/>
          <w:i/>
          <w:iCs/>
          <w:color w:val="000000"/>
          <w:sz w:val="22"/>
          <w:szCs w:val="22"/>
        </w:rPr>
        <w:t>2</w:t>
      </w:r>
      <w:r w:rsidRPr="003160E1">
        <w:rPr>
          <w:rFonts w:eastAsia="Times New Roman" w:cstheme="minorHAnsi"/>
          <w:i/>
          <w:iCs/>
          <w:color w:val="000000"/>
          <w:sz w:val="22"/>
          <w:szCs w:val="22"/>
        </w:rPr>
        <w:t xml:space="preserve">1 Update </w:t>
      </w:r>
      <w:r w:rsidRPr="003160E1">
        <w:rPr>
          <w:rFonts w:eastAsia="Times New Roman" w:cstheme="minorHAnsi"/>
          <w:color w:val="000000"/>
          <w:sz w:val="22"/>
          <w:szCs w:val="22"/>
        </w:rPr>
        <w:t>by delivering the critical, evidence-based components of instruction in accordance with the required delivery of instruction: </w:t>
      </w:r>
    </w:p>
    <w:p w:rsidR="00CF2E84" w:rsidRPr="003160E1" w:rsidRDefault="00CF2E84" w:rsidP="00CF2E84">
      <w:pPr>
        <w:spacing w:before="303" w:after="0" w:line="240" w:lineRule="auto"/>
        <w:ind w:left="11" w:right="715" w:firstLine="19"/>
        <w:rPr>
          <w:rFonts w:eastAsia="Times New Roman" w:cstheme="minorHAnsi"/>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3092"/>
        <w:gridCol w:w="6536"/>
      </w:tblGrid>
      <w:tr w:rsidR="00CF2E84" w:rsidRPr="003160E1" w:rsidTr="00FE3AFC">
        <w:trPr>
          <w:trHeight w:val="6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2E84" w:rsidRPr="003160E1" w:rsidRDefault="00CF2E84" w:rsidP="00FE3AFC">
            <w:pPr>
              <w:spacing w:after="0" w:line="240" w:lineRule="auto"/>
              <w:ind w:left="499"/>
              <w:rPr>
                <w:rFonts w:eastAsia="Times New Roman" w:cstheme="minorHAnsi"/>
                <w:sz w:val="22"/>
                <w:szCs w:val="22"/>
              </w:rPr>
            </w:pPr>
            <w:r w:rsidRPr="003160E1">
              <w:rPr>
                <w:rFonts w:eastAsia="Times New Roman" w:cstheme="minorHAnsi"/>
                <w:color w:val="000000"/>
                <w:sz w:val="22"/>
                <w:szCs w:val="22"/>
              </w:rPr>
              <w:t>● Phonological awareness </w:t>
            </w:r>
          </w:p>
          <w:p w:rsidR="00CF2E84" w:rsidRPr="003160E1" w:rsidRDefault="00CF2E84" w:rsidP="00FE3AFC">
            <w:pPr>
              <w:spacing w:before="34" w:after="0" w:line="240" w:lineRule="auto"/>
              <w:ind w:left="499"/>
              <w:rPr>
                <w:rFonts w:eastAsia="Times New Roman" w:cstheme="minorHAnsi"/>
                <w:sz w:val="22"/>
                <w:szCs w:val="22"/>
              </w:rPr>
            </w:pPr>
            <w:r w:rsidRPr="003160E1">
              <w:rPr>
                <w:rFonts w:eastAsia="Times New Roman" w:cstheme="minorHAnsi"/>
                <w:color w:val="000000"/>
                <w:sz w:val="22"/>
                <w:szCs w:val="22"/>
              </w:rPr>
              <w:t>● Sound-symbol association </w:t>
            </w:r>
          </w:p>
          <w:p w:rsidR="00CF2E84" w:rsidRPr="003160E1" w:rsidRDefault="00CF2E84" w:rsidP="00FE3AFC">
            <w:pPr>
              <w:spacing w:before="34" w:after="0" w:line="240" w:lineRule="auto"/>
              <w:ind w:left="499"/>
              <w:rPr>
                <w:rFonts w:eastAsia="Times New Roman" w:cstheme="minorHAnsi"/>
                <w:sz w:val="22"/>
                <w:szCs w:val="22"/>
              </w:rPr>
            </w:pPr>
            <w:r w:rsidRPr="003160E1">
              <w:rPr>
                <w:rFonts w:eastAsia="Times New Roman" w:cstheme="minorHAnsi"/>
                <w:color w:val="000000"/>
                <w:sz w:val="22"/>
                <w:szCs w:val="22"/>
              </w:rPr>
              <w:t>● Syllabication </w:t>
            </w:r>
          </w:p>
          <w:p w:rsidR="00CF2E84" w:rsidRPr="003160E1" w:rsidRDefault="00CF2E84" w:rsidP="00FE3AFC">
            <w:pPr>
              <w:spacing w:before="34" w:after="0" w:line="240" w:lineRule="auto"/>
              <w:ind w:left="499"/>
              <w:rPr>
                <w:rFonts w:eastAsia="Times New Roman" w:cstheme="minorHAnsi"/>
                <w:sz w:val="22"/>
                <w:szCs w:val="22"/>
              </w:rPr>
            </w:pPr>
            <w:r w:rsidRPr="003160E1">
              <w:rPr>
                <w:rFonts w:eastAsia="Times New Roman" w:cstheme="minorHAnsi"/>
                <w:color w:val="000000"/>
                <w:sz w:val="22"/>
                <w:szCs w:val="22"/>
              </w:rPr>
              <w:t>● Orthography </w:t>
            </w:r>
          </w:p>
          <w:p w:rsidR="00CF2E84" w:rsidRPr="003160E1" w:rsidRDefault="00CF2E84" w:rsidP="00FE3AFC">
            <w:pPr>
              <w:spacing w:before="34" w:after="0" w:line="240" w:lineRule="auto"/>
              <w:ind w:left="499"/>
              <w:rPr>
                <w:rFonts w:eastAsia="Times New Roman" w:cstheme="minorHAnsi"/>
                <w:sz w:val="22"/>
                <w:szCs w:val="22"/>
              </w:rPr>
            </w:pPr>
            <w:r w:rsidRPr="003160E1">
              <w:rPr>
                <w:rFonts w:eastAsia="Times New Roman" w:cstheme="minorHAnsi"/>
                <w:color w:val="000000"/>
                <w:sz w:val="22"/>
                <w:szCs w:val="22"/>
              </w:rPr>
              <w:t>● Morphology </w:t>
            </w:r>
          </w:p>
          <w:p w:rsidR="00CF2E84" w:rsidRPr="003160E1" w:rsidRDefault="00CF2E84" w:rsidP="00FE3AFC">
            <w:pPr>
              <w:spacing w:before="34" w:after="0" w:line="240" w:lineRule="auto"/>
              <w:ind w:left="499"/>
              <w:rPr>
                <w:rFonts w:eastAsia="Times New Roman" w:cstheme="minorHAnsi"/>
                <w:sz w:val="22"/>
                <w:szCs w:val="22"/>
              </w:rPr>
            </w:pPr>
            <w:r w:rsidRPr="003160E1">
              <w:rPr>
                <w:rFonts w:eastAsia="Times New Roman" w:cstheme="minorHAnsi"/>
                <w:color w:val="000000"/>
                <w:sz w:val="22"/>
                <w:szCs w:val="22"/>
              </w:rPr>
              <w:t>● Syntax </w:t>
            </w:r>
          </w:p>
          <w:p w:rsidR="00CF2E84" w:rsidRPr="003160E1" w:rsidRDefault="00CF2E84" w:rsidP="00FE3AFC">
            <w:pPr>
              <w:spacing w:before="34" w:after="0" w:line="240" w:lineRule="auto"/>
              <w:ind w:left="499"/>
              <w:rPr>
                <w:rFonts w:eastAsia="Times New Roman" w:cstheme="minorHAnsi"/>
                <w:sz w:val="22"/>
                <w:szCs w:val="22"/>
              </w:rPr>
            </w:pPr>
            <w:r w:rsidRPr="003160E1">
              <w:rPr>
                <w:rFonts w:eastAsia="Times New Roman" w:cstheme="minorHAnsi"/>
                <w:color w:val="000000"/>
                <w:sz w:val="22"/>
                <w:szCs w:val="22"/>
              </w:rPr>
              <w:t>● Reading Comprehension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2E84" w:rsidRPr="003160E1" w:rsidRDefault="00CF2E84" w:rsidP="00FE3AFC">
            <w:pPr>
              <w:spacing w:after="0" w:line="240" w:lineRule="auto"/>
              <w:ind w:left="504" w:right="513"/>
              <w:rPr>
                <w:rFonts w:eastAsia="Times New Roman" w:cstheme="minorHAnsi"/>
                <w:sz w:val="22"/>
                <w:szCs w:val="22"/>
              </w:rPr>
            </w:pPr>
            <w:r w:rsidRPr="003160E1">
              <w:rPr>
                <w:rFonts w:eastAsia="Times New Roman" w:cstheme="minorHAnsi"/>
                <w:color w:val="000000"/>
                <w:sz w:val="22"/>
                <w:szCs w:val="22"/>
              </w:rPr>
              <w:t>● Simultaneous, multisensory (VATK) ● Systematic and cumulative </w:t>
            </w:r>
          </w:p>
          <w:p w:rsidR="00CF2E84" w:rsidRPr="003160E1" w:rsidRDefault="00CF2E84" w:rsidP="00FE3AFC">
            <w:pPr>
              <w:spacing w:before="6" w:after="0" w:line="240" w:lineRule="auto"/>
              <w:ind w:left="504"/>
              <w:rPr>
                <w:rFonts w:eastAsia="Times New Roman" w:cstheme="minorHAnsi"/>
                <w:sz w:val="22"/>
                <w:szCs w:val="22"/>
              </w:rPr>
            </w:pPr>
            <w:r w:rsidRPr="003160E1">
              <w:rPr>
                <w:rFonts w:eastAsia="Times New Roman" w:cstheme="minorHAnsi"/>
                <w:color w:val="000000"/>
                <w:sz w:val="22"/>
                <w:szCs w:val="22"/>
              </w:rPr>
              <w:t>● Explicit instruction </w:t>
            </w:r>
          </w:p>
          <w:p w:rsidR="00CF2E84" w:rsidRPr="003160E1" w:rsidRDefault="00CF2E84" w:rsidP="00FE3AFC">
            <w:pPr>
              <w:spacing w:after="0" w:line="240" w:lineRule="auto"/>
              <w:ind w:left="504" w:right="541"/>
              <w:rPr>
                <w:rFonts w:eastAsia="Times New Roman" w:cstheme="minorHAnsi"/>
                <w:sz w:val="22"/>
                <w:szCs w:val="22"/>
              </w:rPr>
            </w:pPr>
            <w:r w:rsidRPr="003160E1">
              <w:rPr>
                <w:rFonts w:eastAsia="Times New Roman" w:cstheme="minorHAnsi"/>
                <w:color w:val="000000"/>
                <w:sz w:val="22"/>
                <w:szCs w:val="22"/>
              </w:rPr>
              <w:t>● Diagnostic teaching to automaticity ● Synthetic Instruction </w:t>
            </w:r>
          </w:p>
          <w:p w:rsidR="00CF2E84" w:rsidRPr="003160E1" w:rsidRDefault="00CF2E84" w:rsidP="00FE3AFC">
            <w:pPr>
              <w:spacing w:before="6" w:after="0" w:line="240" w:lineRule="auto"/>
              <w:ind w:left="504"/>
              <w:rPr>
                <w:rFonts w:eastAsia="Times New Roman" w:cstheme="minorHAnsi"/>
                <w:sz w:val="22"/>
                <w:szCs w:val="22"/>
              </w:rPr>
            </w:pPr>
            <w:r w:rsidRPr="003160E1">
              <w:rPr>
                <w:rFonts w:eastAsia="Times New Roman" w:cstheme="minorHAnsi"/>
                <w:color w:val="000000"/>
                <w:sz w:val="22"/>
                <w:szCs w:val="22"/>
              </w:rPr>
              <w:t>● Analytic Instruction </w:t>
            </w:r>
          </w:p>
          <w:p w:rsidR="00CF2E84" w:rsidRPr="003160E1" w:rsidRDefault="00CF2E84" w:rsidP="00FE3AFC">
            <w:pPr>
              <w:spacing w:after="0" w:line="240" w:lineRule="auto"/>
              <w:ind w:left="504"/>
              <w:rPr>
                <w:rFonts w:eastAsia="Times New Roman" w:cstheme="minorHAnsi"/>
                <w:sz w:val="22"/>
                <w:szCs w:val="22"/>
              </w:rPr>
            </w:pPr>
            <w:r w:rsidRPr="003160E1">
              <w:rPr>
                <w:rFonts w:eastAsia="Times New Roman" w:cstheme="minorHAnsi"/>
                <w:color w:val="000000"/>
                <w:sz w:val="22"/>
                <w:szCs w:val="22"/>
              </w:rPr>
              <w:t>● Reading Fluency</w:t>
            </w:r>
          </w:p>
        </w:tc>
      </w:tr>
    </w:tbl>
    <w:p w:rsidR="00CF2E84" w:rsidRPr="003160E1" w:rsidRDefault="00CF2E84" w:rsidP="00CF2E84">
      <w:pPr>
        <w:spacing w:after="240" w:line="240" w:lineRule="auto"/>
        <w:rPr>
          <w:rFonts w:eastAsia="Times New Roman" w:cstheme="minorHAnsi"/>
          <w:sz w:val="22"/>
          <w:szCs w:val="22"/>
        </w:rPr>
      </w:pPr>
    </w:p>
    <w:p w:rsidR="00CF2E84" w:rsidRPr="003160E1" w:rsidRDefault="00CF2E84" w:rsidP="00CF2E84">
      <w:pPr>
        <w:spacing w:after="0" w:line="240" w:lineRule="auto"/>
        <w:ind w:left="6" w:right="144" w:hanging="4"/>
        <w:rPr>
          <w:rFonts w:eastAsia="Times New Roman" w:cstheme="minorHAnsi"/>
          <w:sz w:val="22"/>
          <w:szCs w:val="22"/>
        </w:rPr>
      </w:pPr>
      <w:r w:rsidRPr="003160E1">
        <w:rPr>
          <w:rFonts w:eastAsia="Times New Roman" w:cstheme="minorHAnsi"/>
          <w:color w:val="000000"/>
          <w:sz w:val="22"/>
          <w:szCs w:val="22"/>
        </w:rPr>
        <w:lastRenderedPageBreak/>
        <w:t xml:space="preserve">With </w:t>
      </w:r>
      <w:r w:rsidRPr="003160E1">
        <w:rPr>
          <w:rFonts w:eastAsia="Times New Roman" w:cstheme="minorHAnsi"/>
          <w:i/>
          <w:iCs/>
          <w:color w:val="000000"/>
          <w:sz w:val="22"/>
          <w:szCs w:val="22"/>
        </w:rPr>
        <w:t>Take Flight</w:t>
      </w:r>
      <w:r w:rsidRPr="003160E1">
        <w:rPr>
          <w:rFonts w:eastAsia="Times New Roman" w:cstheme="minorHAnsi"/>
          <w:color w:val="000000"/>
          <w:sz w:val="22"/>
          <w:szCs w:val="22"/>
        </w:rPr>
        <w:t xml:space="preserve">, students will learn all 44 phonemes of the English language, 96 grapheme-phoneme correspondence rules, and 87 affixes. The students will also learn spelling rules for base words and derivatives. Practice opportunities are also provided that are designed to improve oral reading fluency. Finally, </w:t>
      </w:r>
      <w:r w:rsidRPr="003160E1">
        <w:rPr>
          <w:rFonts w:eastAsia="Times New Roman" w:cstheme="minorHAnsi"/>
          <w:i/>
          <w:iCs/>
          <w:color w:val="000000"/>
          <w:sz w:val="22"/>
          <w:szCs w:val="22"/>
        </w:rPr>
        <w:t xml:space="preserve">Take Flight </w:t>
      </w:r>
      <w:r w:rsidRPr="003160E1">
        <w:rPr>
          <w:rFonts w:eastAsia="Times New Roman" w:cstheme="minorHAnsi"/>
          <w:color w:val="000000"/>
          <w:sz w:val="22"/>
          <w:szCs w:val="22"/>
        </w:rPr>
        <w:t>introduces comprehension and vocabulary building strategies for both narrative and expository text in the context of oral reading exercise, preparing students for successful, independent reading. </w:t>
      </w:r>
    </w:p>
    <w:p w:rsidR="00CF2E84" w:rsidRPr="003160E1" w:rsidRDefault="00CF2E84" w:rsidP="00CF2E84">
      <w:pPr>
        <w:spacing w:before="594" w:after="0" w:line="240" w:lineRule="auto"/>
        <w:rPr>
          <w:rFonts w:eastAsia="Times New Roman" w:cstheme="minorHAnsi"/>
          <w:b/>
          <w:bCs/>
          <w:color w:val="000000"/>
          <w:sz w:val="22"/>
          <w:szCs w:val="22"/>
        </w:rPr>
      </w:pPr>
      <w:r w:rsidRPr="003160E1">
        <w:rPr>
          <w:rFonts w:eastAsia="Times New Roman" w:cstheme="minorHAnsi"/>
          <w:b/>
          <w:bCs/>
          <w:color w:val="000000"/>
          <w:sz w:val="22"/>
          <w:szCs w:val="22"/>
        </w:rPr>
        <w:t>Training Structure: 2-year training offered to all district dyslexia teachers</w:t>
      </w:r>
    </w:p>
    <w:p w:rsidR="00CF2E84" w:rsidRPr="003160E1" w:rsidRDefault="00CF2E84" w:rsidP="00CF2E84">
      <w:pPr>
        <w:spacing w:before="594" w:after="0" w:line="240" w:lineRule="auto"/>
        <w:rPr>
          <w:rFonts w:eastAsia="Times New Roman" w:cstheme="minorHAnsi"/>
          <w:sz w:val="22"/>
          <w:szCs w:val="22"/>
        </w:rPr>
      </w:pPr>
      <w:r w:rsidRPr="003160E1">
        <w:rPr>
          <w:rFonts w:eastAsia="Times New Roman" w:cstheme="minorHAnsi"/>
          <w:b/>
          <w:bCs/>
          <w:color w:val="000000"/>
          <w:sz w:val="22"/>
          <w:szCs w:val="22"/>
        </w:rPr>
        <w:t>First Year Requirements: </w:t>
      </w:r>
    </w:p>
    <w:p w:rsidR="006A6639" w:rsidRPr="006A6639" w:rsidRDefault="00CF2E84" w:rsidP="006A6639">
      <w:pPr>
        <w:pStyle w:val="ListParagraph"/>
        <w:numPr>
          <w:ilvl w:val="0"/>
          <w:numId w:val="5"/>
        </w:numPr>
        <w:spacing w:before="34" w:after="0" w:line="240" w:lineRule="auto"/>
        <w:rPr>
          <w:rFonts w:eastAsia="Times New Roman" w:cstheme="minorHAnsi"/>
          <w:sz w:val="22"/>
          <w:szCs w:val="22"/>
        </w:rPr>
      </w:pPr>
      <w:r w:rsidRPr="006A6639">
        <w:rPr>
          <w:rFonts w:eastAsia="Times New Roman" w:cstheme="minorHAnsi"/>
          <w:color w:val="000000"/>
          <w:sz w:val="22"/>
          <w:szCs w:val="22"/>
        </w:rPr>
        <w:t>Attend the three-week introductory classes (lecture, observation, practicum, reading and other homework assignments) in the summer of 2023. </w:t>
      </w:r>
    </w:p>
    <w:p w:rsidR="006A6639" w:rsidRPr="006A6639" w:rsidRDefault="00CF2E84" w:rsidP="006A6639">
      <w:pPr>
        <w:pStyle w:val="ListParagraph"/>
        <w:numPr>
          <w:ilvl w:val="0"/>
          <w:numId w:val="5"/>
        </w:numPr>
        <w:spacing w:before="34" w:after="0" w:line="240" w:lineRule="auto"/>
        <w:rPr>
          <w:rFonts w:eastAsia="Times New Roman" w:cstheme="minorHAnsi"/>
          <w:sz w:val="22"/>
          <w:szCs w:val="22"/>
        </w:rPr>
      </w:pPr>
      <w:r w:rsidRPr="006A6639">
        <w:rPr>
          <w:rFonts w:eastAsia="Times New Roman" w:cstheme="minorHAnsi"/>
          <w:color w:val="000000"/>
          <w:sz w:val="22"/>
          <w:szCs w:val="22"/>
        </w:rPr>
        <w:t>Attend four full-day seminars and one approved professional conference during the 2023-2024 academic school year. </w:t>
      </w:r>
    </w:p>
    <w:p w:rsidR="006A6639" w:rsidRPr="006A6639" w:rsidRDefault="00CF2E84" w:rsidP="006A6639">
      <w:pPr>
        <w:pStyle w:val="ListParagraph"/>
        <w:numPr>
          <w:ilvl w:val="0"/>
          <w:numId w:val="5"/>
        </w:numPr>
        <w:spacing w:before="34" w:after="0" w:line="240" w:lineRule="auto"/>
        <w:rPr>
          <w:rFonts w:eastAsia="Times New Roman" w:cstheme="minorHAnsi"/>
          <w:sz w:val="22"/>
          <w:szCs w:val="22"/>
        </w:rPr>
      </w:pPr>
      <w:r w:rsidRPr="006A6639">
        <w:rPr>
          <w:rFonts w:eastAsia="Times New Roman" w:cstheme="minorHAnsi"/>
          <w:color w:val="000000"/>
          <w:sz w:val="22"/>
          <w:szCs w:val="22"/>
        </w:rPr>
        <w:t xml:space="preserve">Complete five demonstration lessons with a local dyslexia intervention class. All five demonstration lessons must be completed with a passing score of 85 by May 31st. </w:t>
      </w:r>
    </w:p>
    <w:p w:rsidR="006A6639" w:rsidRPr="006A6639" w:rsidRDefault="00CF2E84" w:rsidP="006A6639">
      <w:pPr>
        <w:pStyle w:val="ListParagraph"/>
        <w:numPr>
          <w:ilvl w:val="0"/>
          <w:numId w:val="5"/>
        </w:numPr>
        <w:spacing w:before="34" w:after="0" w:line="240" w:lineRule="auto"/>
        <w:rPr>
          <w:rFonts w:eastAsia="Times New Roman" w:cstheme="minorHAnsi"/>
          <w:sz w:val="22"/>
          <w:szCs w:val="22"/>
        </w:rPr>
      </w:pPr>
      <w:r w:rsidRPr="006A6639">
        <w:rPr>
          <w:rFonts w:eastAsia="Times New Roman" w:cstheme="minorHAnsi"/>
          <w:color w:val="000000"/>
          <w:sz w:val="22"/>
          <w:szCs w:val="22"/>
        </w:rPr>
        <w:t>Submit five book reports from an approved list of professional books during the introductory course. </w:t>
      </w:r>
    </w:p>
    <w:p w:rsidR="006A6639" w:rsidRPr="006A6639" w:rsidRDefault="00CF2E84" w:rsidP="006A6639">
      <w:pPr>
        <w:pStyle w:val="ListParagraph"/>
        <w:numPr>
          <w:ilvl w:val="0"/>
          <w:numId w:val="5"/>
        </w:numPr>
        <w:spacing w:before="34" w:after="0" w:line="240" w:lineRule="auto"/>
        <w:rPr>
          <w:rFonts w:eastAsia="Times New Roman" w:cstheme="minorHAnsi"/>
          <w:sz w:val="22"/>
          <w:szCs w:val="22"/>
        </w:rPr>
      </w:pPr>
      <w:r w:rsidRPr="006A6639">
        <w:rPr>
          <w:rFonts w:eastAsia="Times New Roman" w:cstheme="minorHAnsi"/>
          <w:color w:val="000000"/>
          <w:sz w:val="22"/>
          <w:szCs w:val="22"/>
        </w:rPr>
        <w:t xml:space="preserve"> Implement and maintain dyslexia intervention classes of </w:t>
      </w:r>
      <w:r w:rsidRPr="006A6639">
        <w:rPr>
          <w:rFonts w:eastAsia="Times New Roman" w:cstheme="minorHAnsi"/>
          <w:i/>
          <w:iCs/>
          <w:color w:val="000000"/>
          <w:sz w:val="22"/>
          <w:szCs w:val="22"/>
        </w:rPr>
        <w:t xml:space="preserve">Take Flight </w:t>
      </w:r>
      <w:r w:rsidRPr="006A6639">
        <w:rPr>
          <w:rFonts w:eastAsia="Times New Roman" w:cstheme="minorHAnsi"/>
          <w:color w:val="000000"/>
          <w:sz w:val="22"/>
          <w:szCs w:val="22"/>
        </w:rPr>
        <w:t xml:space="preserve">with at least three groups </w:t>
      </w:r>
      <w:r w:rsidR="006A6639">
        <w:rPr>
          <w:rFonts w:eastAsia="Times New Roman" w:cstheme="minorHAnsi"/>
          <w:color w:val="000000"/>
          <w:sz w:val="22"/>
          <w:szCs w:val="22"/>
        </w:rPr>
        <w:t>(</w:t>
      </w:r>
      <w:r w:rsidRPr="006A6639">
        <w:rPr>
          <w:rFonts w:eastAsia="Times New Roman" w:cstheme="minorHAnsi"/>
          <w:color w:val="000000"/>
          <w:sz w:val="22"/>
          <w:szCs w:val="22"/>
        </w:rPr>
        <w:t>minimum of 45 minutes per group) five days a week OR at least three groups (minimum of 60</w:t>
      </w:r>
      <w:r w:rsidR="006A6639">
        <w:rPr>
          <w:rFonts w:eastAsia="Times New Roman" w:cstheme="minorHAnsi"/>
          <w:color w:val="000000"/>
          <w:sz w:val="22"/>
          <w:szCs w:val="22"/>
        </w:rPr>
        <w:t xml:space="preserve"> </w:t>
      </w:r>
      <w:r w:rsidRPr="006A6639">
        <w:rPr>
          <w:rFonts w:eastAsia="Times New Roman" w:cstheme="minorHAnsi"/>
          <w:color w:val="000000"/>
          <w:sz w:val="22"/>
          <w:szCs w:val="22"/>
        </w:rPr>
        <w:t>minutes per group) four days a week. </w:t>
      </w:r>
    </w:p>
    <w:p w:rsidR="00CF2E84" w:rsidRPr="006A6639" w:rsidRDefault="00CF2E84" w:rsidP="006A6639">
      <w:pPr>
        <w:pStyle w:val="ListParagraph"/>
        <w:numPr>
          <w:ilvl w:val="0"/>
          <w:numId w:val="5"/>
        </w:numPr>
        <w:spacing w:before="34" w:after="0" w:line="240" w:lineRule="auto"/>
        <w:rPr>
          <w:rFonts w:eastAsia="Times New Roman" w:cstheme="minorHAnsi"/>
          <w:sz w:val="22"/>
          <w:szCs w:val="22"/>
        </w:rPr>
      </w:pPr>
      <w:r w:rsidRPr="006A6639">
        <w:rPr>
          <w:rFonts w:eastAsia="Times New Roman" w:cstheme="minorHAnsi"/>
          <w:color w:val="000000"/>
          <w:sz w:val="22"/>
          <w:szCs w:val="22"/>
        </w:rPr>
        <w:t>Must reach lesson 65 with at least one group to qualify for Advanced Training. </w:t>
      </w:r>
    </w:p>
    <w:p w:rsidR="00CF2E84" w:rsidRPr="003160E1" w:rsidRDefault="00CF2E84" w:rsidP="00CF2E84">
      <w:pPr>
        <w:spacing w:before="12" w:after="0" w:line="240" w:lineRule="auto"/>
        <w:rPr>
          <w:rFonts w:eastAsia="Times New Roman" w:cstheme="minorHAnsi"/>
          <w:sz w:val="22"/>
          <w:szCs w:val="22"/>
        </w:rPr>
      </w:pPr>
    </w:p>
    <w:p w:rsidR="00CF2E84" w:rsidRPr="003160E1" w:rsidRDefault="00CF2E84" w:rsidP="00CF2E84">
      <w:pPr>
        <w:spacing w:before="12" w:after="0" w:line="240" w:lineRule="auto"/>
        <w:rPr>
          <w:rFonts w:eastAsia="Times New Roman" w:cstheme="minorHAnsi"/>
          <w:sz w:val="22"/>
          <w:szCs w:val="22"/>
        </w:rPr>
      </w:pPr>
      <w:r w:rsidRPr="003160E1">
        <w:rPr>
          <w:rFonts w:eastAsia="Times New Roman" w:cstheme="minorHAnsi"/>
          <w:b/>
          <w:bCs/>
          <w:color w:val="000000"/>
          <w:sz w:val="22"/>
          <w:szCs w:val="22"/>
        </w:rPr>
        <w:t>Second Year requirements: </w:t>
      </w:r>
    </w:p>
    <w:p w:rsidR="006A6639" w:rsidRPr="006A6639" w:rsidRDefault="00CF2E84" w:rsidP="006A6639">
      <w:pPr>
        <w:pStyle w:val="ListParagraph"/>
        <w:numPr>
          <w:ilvl w:val="0"/>
          <w:numId w:val="6"/>
        </w:numPr>
        <w:spacing w:before="34" w:after="0" w:line="240" w:lineRule="auto"/>
        <w:rPr>
          <w:rFonts w:eastAsia="Times New Roman" w:cstheme="minorHAnsi"/>
          <w:sz w:val="22"/>
          <w:szCs w:val="22"/>
        </w:rPr>
      </w:pPr>
      <w:r w:rsidRPr="006A6639">
        <w:rPr>
          <w:rFonts w:eastAsia="Times New Roman" w:cstheme="minorHAnsi"/>
          <w:color w:val="000000"/>
          <w:sz w:val="22"/>
          <w:szCs w:val="22"/>
        </w:rPr>
        <w:t>Attend the one-week advanced classes (lecture, observation, practicum, reading and other homework assignments) in the summer of 2024. </w:t>
      </w:r>
    </w:p>
    <w:p w:rsidR="006A6639" w:rsidRPr="006A6639" w:rsidRDefault="00CF2E84" w:rsidP="006A6639">
      <w:pPr>
        <w:pStyle w:val="ListParagraph"/>
        <w:numPr>
          <w:ilvl w:val="0"/>
          <w:numId w:val="6"/>
        </w:numPr>
        <w:spacing w:before="34" w:after="0" w:line="240" w:lineRule="auto"/>
        <w:rPr>
          <w:rFonts w:eastAsia="Times New Roman" w:cstheme="minorHAnsi"/>
          <w:sz w:val="22"/>
          <w:szCs w:val="22"/>
        </w:rPr>
      </w:pPr>
      <w:r w:rsidRPr="006A6639">
        <w:rPr>
          <w:rFonts w:eastAsia="Times New Roman" w:cstheme="minorHAnsi"/>
          <w:color w:val="000000"/>
          <w:sz w:val="22"/>
          <w:szCs w:val="22"/>
        </w:rPr>
        <w:t>Attend four full-day seminars and one approved professional conference during the 2024-2025 academic school year. </w:t>
      </w:r>
    </w:p>
    <w:p w:rsidR="006A6639" w:rsidRPr="006A6639" w:rsidRDefault="00CF2E84" w:rsidP="006A6639">
      <w:pPr>
        <w:pStyle w:val="ListParagraph"/>
        <w:numPr>
          <w:ilvl w:val="0"/>
          <w:numId w:val="6"/>
        </w:numPr>
        <w:spacing w:before="34" w:after="0" w:line="240" w:lineRule="auto"/>
        <w:rPr>
          <w:rFonts w:eastAsia="Times New Roman" w:cstheme="minorHAnsi"/>
          <w:sz w:val="22"/>
          <w:szCs w:val="22"/>
        </w:rPr>
      </w:pPr>
      <w:r w:rsidRPr="006A6639">
        <w:rPr>
          <w:rFonts w:eastAsia="Times New Roman" w:cstheme="minorHAnsi"/>
          <w:color w:val="000000"/>
          <w:sz w:val="22"/>
          <w:szCs w:val="22"/>
        </w:rPr>
        <w:t xml:space="preserve">Complete five demonstration lessons in the second year of </w:t>
      </w:r>
      <w:r w:rsidRPr="006A6639">
        <w:rPr>
          <w:rFonts w:eastAsia="Times New Roman" w:cstheme="minorHAnsi"/>
          <w:i/>
          <w:iCs/>
          <w:color w:val="000000"/>
          <w:sz w:val="22"/>
          <w:szCs w:val="22"/>
        </w:rPr>
        <w:t xml:space="preserve">Take Flight </w:t>
      </w:r>
      <w:r w:rsidRPr="006A6639">
        <w:rPr>
          <w:rFonts w:eastAsia="Times New Roman" w:cstheme="minorHAnsi"/>
          <w:color w:val="000000"/>
          <w:sz w:val="22"/>
          <w:szCs w:val="22"/>
        </w:rPr>
        <w:t>with a local dyslexia intervention class. All five demonstration lessons must be completed with a passing score of 85 by May 31st. </w:t>
      </w:r>
    </w:p>
    <w:p w:rsidR="00E537AE" w:rsidRPr="006A6639" w:rsidRDefault="00CF2E84" w:rsidP="006A6639">
      <w:pPr>
        <w:pStyle w:val="ListParagraph"/>
        <w:numPr>
          <w:ilvl w:val="0"/>
          <w:numId w:val="6"/>
        </w:numPr>
        <w:spacing w:before="34" w:after="0" w:line="240" w:lineRule="auto"/>
        <w:rPr>
          <w:rFonts w:eastAsia="Times New Roman" w:cstheme="minorHAnsi"/>
          <w:sz w:val="22"/>
          <w:szCs w:val="22"/>
        </w:rPr>
      </w:pPr>
      <w:r w:rsidRPr="006A6639">
        <w:rPr>
          <w:rFonts w:eastAsia="Times New Roman" w:cstheme="minorHAnsi"/>
          <w:color w:val="000000"/>
          <w:sz w:val="22"/>
          <w:szCs w:val="22"/>
        </w:rPr>
        <w:t>Maintain dyslexia intervention classes using Take Flight with at least three groups.</w:t>
      </w:r>
    </w:p>
    <w:sectPr w:rsidR="00E537AE" w:rsidRPr="006A6639" w:rsidSect="003417BE">
      <w:headerReference w:type="even" r:id="rId7"/>
      <w:headerReference w:type="default" r:id="rId8"/>
      <w:footerReference w:type="even" r:id="rId9"/>
      <w:footerReference w:type="default" r:id="rId10"/>
      <w:headerReference w:type="first" r:id="rId11"/>
      <w:footerReference w:type="firs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337" w:rsidRDefault="00D77337" w:rsidP="0011111B">
      <w:pPr>
        <w:spacing w:after="0" w:line="240" w:lineRule="auto"/>
      </w:pPr>
      <w:r>
        <w:separator/>
      </w:r>
    </w:p>
  </w:endnote>
  <w:endnote w:type="continuationSeparator" w:id="0">
    <w:p w:rsidR="00D77337" w:rsidRDefault="00D77337"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337" w:rsidRDefault="00D77337" w:rsidP="0011111B">
      <w:pPr>
        <w:spacing w:after="0" w:line="240" w:lineRule="auto"/>
      </w:pPr>
      <w:r>
        <w:separator/>
      </w:r>
    </w:p>
  </w:footnote>
  <w:footnote w:type="continuationSeparator" w:id="0">
    <w:p w:rsidR="00D77337" w:rsidRDefault="00D77337"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08F9"/>
    <w:multiLevelType w:val="hybridMultilevel"/>
    <w:tmpl w:val="F0429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20B24"/>
    <w:multiLevelType w:val="multilevel"/>
    <w:tmpl w:val="225A22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D739B0"/>
    <w:multiLevelType w:val="multilevel"/>
    <w:tmpl w:val="CF2EA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752BA2"/>
    <w:multiLevelType w:val="hybridMultilevel"/>
    <w:tmpl w:val="687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29643C"/>
    <w:multiLevelType w:val="multilevel"/>
    <w:tmpl w:val="29C86C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029DE"/>
    <w:rsid w:val="000550BB"/>
    <w:rsid w:val="00065494"/>
    <w:rsid w:val="0011111B"/>
    <w:rsid w:val="00145C00"/>
    <w:rsid w:val="00153553"/>
    <w:rsid w:val="00227177"/>
    <w:rsid w:val="00263EEA"/>
    <w:rsid w:val="002874B0"/>
    <w:rsid w:val="0030781C"/>
    <w:rsid w:val="0033108D"/>
    <w:rsid w:val="003417BE"/>
    <w:rsid w:val="003964BC"/>
    <w:rsid w:val="004C5382"/>
    <w:rsid w:val="005F3BF4"/>
    <w:rsid w:val="006053FC"/>
    <w:rsid w:val="0067079D"/>
    <w:rsid w:val="006A10E8"/>
    <w:rsid w:val="006A6639"/>
    <w:rsid w:val="006E647E"/>
    <w:rsid w:val="00730FF9"/>
    <w:rsid w:val="007927C3"/>
    <w:rsid w:val="0096455D"/>
    <w:rsid w:val="00976B7C"/>
    <w:rsid w:val="00A31D27"/>
    <w:rsid w:val="00A57A6D"/>
    <w:rsid w:val="00A915FF"/>
    <w:rsid w:val="00AB16DA"/>
    <w:rsid w:val="00B34C37"/>
    <w:rsid w:val="00B5435E"/>
    <w:rsid w:val="00BF3E3B"/>
    <w:rsid w:val="00CF2E84"/>
    <w:rsid w:val="00D72942"/>
    <w:rsid w:val="00D77337"/>
    <w:rsid w:val="00D82ACD"/>
    <w:rsid w:val="00E139D2"/>
    <w:rsid w:val="00E537AE"/>
    <w:rsid w:val="00E607FA"/>
    <w:rsid w:val="00EF6A5B"/>
    <w:rsid w:val="00F74254"/>
    <w:rsid w:val="00F85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206B"/>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1">
    <w:name w:val="list-level1"/>
    <w:basedOn w:val="Normal"/>
    <w:uiPriority w:val="99"/>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310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3310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37AE"/>
    <w:rPr>
      <w:color w:val="0563C1" w:themeColor="hyperlink"/>
      <w:u w:val="single"/>
    </w:rPr>
  </w:style>
  <w:style w:type="paragraph" w:customStyle="1" w:styleId="legal-1">
    <w:name w:val="legal-1"/>
    <w:basedOn w:val="Normal"/>
    <w:uiPriority w:val="99"/>
    <w:semiHidden/>
    <w:rsid w:val="00E53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2">
    <w:name w:val="list-level2"/>
    <w:basedOn w:val="Normal"/>
    <w:uiPriority w:val="99"/>
    <w:semiHidden/>
    <w:rsid w:val="00E537AE"/>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E537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69147">
      <w:bodyDiv w:val="1"/>
      <w:marLeft w:val="0"/>
      <w:marRight w:val="0"/>
      <w:marTop w:val="0"/>
      <w:marBottom w:val="0"/>
      <w:divBdr>
        <w:top w:val="none" w:sz="0" w:space="0" w:color="auto"/>
        <w:left w:val="none" w:sz="0" w:space="0" w:color="auto"/>
        <w:bottom w:val="none" w:sz="0" w:space="0" w:color="auto"/>
        <w:right w:val="none" w:sz="0" w:space="0" w:color="auto"/>
      </w:divBdr>
    </w:div>
    <w:div w:id="1614628842">
      <w:bodyDiv w:val="1"/>
      <w:marLeft w:val="0"/>
      <w:marRight w:val="0"/>
      <w:marTop w:val="0"/>
      <w:marBottom w:val="0"/>
      <w:divBdr>
        <w:top w:val="none" w:sz="0" w:space="0" w:color="auto"/>
        <w:left w:val="none" w:sz="0" w:space="0" w:color="auto"/>
        <w:bottom w:val="none" w:sz="0" w:space="0" w:color="auto"/>
        <w:right w:val="none" w:sz="0" w:space="0" w:color="auto"/>
      </w:divBdr>
      <w:divsChild>
        <w:div w:id="1268855163">
          <w:marLeft w:val="0"/>
          <w:marRight w:val="0"/>
          <w:marTop w:val="0"/>
          <w:marBottom w:val="0"/>
          <w:divBdr>
            <w:top w:val="none" w:sz="0" w:space="0" w:color="auto"/>
            <w:left w:val="none" w:sz="0" w:space="0" w:color="auto"/>
            <w:bottom w:val="none" w:sz="0" w:space="0" w:color="auto"/>
            <w:right w:val="none" w:sz="0" w:space="0" w:color="auto"/>
          </w:divBdr>
          <w:divsChild>
            <w:div w:id="1307929089">
              <w:marLeft w:val="0"/>
              <w:marRight w:val="0"/>
              <w:marTop w:val="0"/>
              <w:marBottom w:val="0"/>
              <w:divBdr>
                <w:top w:val="none" w:sz="0" w:space="0" w:color="auto"/>
                <w:left w:val="none" w:sz="0" w:space="0" w:color="auto"/>
                <w:bottom w:val="none" w:sz="0" w:space="0" w:color="auto"/>
                <w:right w:val="none" w:sz="0" w:space="0" w:color="auto"/>
              </w:divBdr>
              <w:divsChild>
                <w:div w:id="1000504480">
                  <w:marLeft w:val="0"/>
                  <w:marRight w:val="0"/>
                  <w:marTop w:val="0"/>
                  <w:marBottom w:val="0"/>
                  <w:divBdr>
                    <w:top w:val="none" w:sz="0" w:space="0" w:color="auto"/>
                    <w:left w:val="none" w:sz="0" w:space="0" w:color="auto"/>
                    <w:bottom w:val="none" w:sz="0" w:space="0" w:color="auto"/>
                    <w:right w:val="none" w:sz="0" w:space="0" w:color="auto"/>
                  </w:divBdr>
                </w:div>
                <w:div w:id="1254896602">
                  <w:marLeft w:val="0"/>
                  <w:marRight w:val="0"/>
                  <w:marTop w:val="0"/>
                  <w:marBottom w:val="0"/>
                  <w:divBdr>
                    <w:top w:val="none" w:sz="0" w:space="0" w:color="auto"/>
                    <w:left w:val="none" w:sz="0" w:space="0" w:color="auto"/>
                    <w:bottom w:val="none" w:sz="0" w:space="0" w:color="auto"/>
                    <w:right w:val="none" w:sz="0" w:space="0" w:color="auto"/>
                  </w:divBdr>
                  <w:divsChild>
                    <w:div w:id="6364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7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6</cp:revision>
  <dcterms:created xsi:type="dcterms:W3CDTF">2023-03-30T14:59:00Z</dcterms:created>
  <dcterms:modified xsi:type="dcterms:W3CDTF">2024-02-28T15:34:00Z</dcterms:modified>
</cp:coreProperties>
</file>