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F71A6" w:rsidTr="009032EC">
        <w:trPr>
          <w:trHeight w:val="252"/>
        </w:trPr>
        <w:tc>
          <w:tcPr>
            <w:tcW w:w="2713" w:type="dxa"/>
            <w:tcBorders>
              <w:top w:val="single" w:sz="4" w:space="0" w:color="000000"/>
              <w:left w:val="single" w:sz="4" w:space="0" w:color="000000"/>
              <w:bottom w:val="single" w:sz="4" w:space="0" w:color="000000"/>
              <w:right w:val="single" w:sz="4" w:space="0" w:color="000000"/>
            </w:tcBorders>
          </w:tcPr>
          <w:p w:rsidR="009F71A6" w:rsidRPr="002C4503" w:rsidRDefault="009F71A6" w:rsidP="009032EC">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9F71A6" w:rsidRDefault="009F71A6" w:rsidP="009032EC">
            <w:pPr>
              <w:spacing w:line="259" w:lineRule="auto"/>
            </w:pPr>
            <w:r>
              <w:t>DEC</w:t>
            </w:r>
          </w:p>
        </w:tc>
      </w:tr>
      <w:tr w:rsidR="009F71A6" w:rsidTr="009032EC">
        <w:trPr>
          <w:trHeight w:val="254"/>
        </w:trPr>
        <w:tc>
          <w:tcPr>
            <w:tcW w:w="2713" w:type="dxa"/>
            <w:tcBorders>
              <w:top w:val="single" w:sz="4" w:space="0" w:color="000000"/>
              <w:left w:val="single" w:sz="4" w:space="0" w:color="000000"/>
              <w:bottom w:val="single" w:sz="4" w:space="0" w:color="000000"/>
              <w:right w:val="single" w:sz="4" w:space="0" w:color="000000"/>
            </w:tcBorders>
          </w:tcPr>
          <w:p w:rsidR="009F71A6" w:rsidRDefault="009F71A6" w:rsidP="009032EC">
            <w:pPr>
              <w:spacing w:line="259" w:lineRule="auto"/>
            </w:pPr>
            <w:r>
              <w:rPr>
                <w:sz w:val="18"/>
              </w:rPr>
              <w:t>Page 1 of 1</w:t>
            </w:r>
          </w:p>
        </w:tc>
        <w:tc>
          <w:tcPr>
            <w:tcW w:w="990" w:type="dxa"/>
            <w:tcBorders>
              <w:top w:val="single" w:sz="4" w:space="0" w:color="000000"/>
              <w:left w:val="single" w:sz="4" w:space="0" w:color="000000"/>
              <w:bottom w:val="single" w:sz="4" w:space="0" w:color="000000"/>
              <w:right w:val="single" w:sz="4" w:space="0" w:color="000000"/>
            </w:tcBorders>
          </w:tcPr>
          <w:p w:rsidR="009F71A6" w:rsidRDefault="009F71A6" w:rsidP="009032EC">
            <w:pPr>
              <w:spacing w:line="259" w:lineRule="auto"/>
            </w:pPr>
            <w:r>
              <w:rPr>
                <w:sz w:val="20"/>
              </w:rPr>
              <w:t xml:space="preserve"> </w:t>
            </w:r>
          </w:p>
        </w:tc>
      </w:tr>
      <w:tr w:rsidR="009F71A6" w:rsidTr="009032EC">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F71A6" w:rsidRDefault="009F71A6" w:rsidP="009032EC">
            <w:pPr>
              <w:spacing w:line="259" w:lineRule="auto"/>
            </w:pPr>
            <w:r>
              <w:rPr>
                <w:sz w:val="18"/>
              </w:rPr>
              <w:t>Use of State Discretionary Days - 2023</w:t>
            </w:r>
          </w:p>
        </w:tc>
      </w:tr>
    </w:tbl>
    <w:p w:rsidR="006E7F83" w:rsidRDefault="006E7F83" w:rsidP="001008ED">
      <w:pPr>
        <w:spacing w:after="0"/>
        <w:rPr>
          <w:rFonts w:ascii="Calibri" w:hAnsi="Calibri" w:cs="Calibri"/>
          <w:sz w:val="22"/>
          <w:szCs w:val="22"/>
        </w:rPr>
      </w:pPr>
    </w:p>
    <w:p w:rsidR="00F830BF" w:rsidRPr="005243BE" w:rsidRDefault="00F830BF" w:rsidP="00F830BF">
      <w:pPr>
        <w:rPr>
          <w:rFonts w:ascii="Calibri" w:hAnsi="Calibri" w:cs="Calibri"/>
          <w:sz w:val="22"/>
          <w:szCs w:val="22"/>
        </w:rPr>
      </w:pPr>
      <w:r w:rsidRPr="005243BE">
        <w:rPr>
          <w:rFonts w:ascii="Calibri" w:hAnsi="Calibri" w:cs="Calibri"/>
          <w:sz w:val="22"/>
          <w:szCs w:val="22"/>
        </w:rPr>
        <w:t xml:space="preserve">The following guidelines apply when employee requests the use of </w:t>
      </w:r>
      <w:r>
        <w:rPr>
          <w:rFonts w:ascii="Calibri" w:hAnsi="Calibri" w:cs="Calibri"/>
          <w:sz w:val="22"/>
          <w:szCs w:val="22"/>
        </w:rPr>
        <w:t xml:space="preserve">state </w:t>
      </w:r>
      <w:r w:rsidRPr="005243BE">
        <w:rPr>
          <w:rFonts w:ascii="Calibri" w:hAnsi="Calibri" w:cs="Calibri"/>
          <w:sz w:val="22"/>
          <w:szCs w:val="22"/>
        </w:rPr>
        <w:t>discretionary leave:</w:t>
      </w:r>
    </w:p>
    <w:p w:rsidR="00F830BF" w:rsidRDefault="00F830BF" w:rsidP="00F830BF">
      <w:pPr>
        <w:rPr>
          <w:rFonts w:ascii="Calibri" w:hAnsi="Calibri" w:cs="Calibri"/>
          <w:b/>
          <w:bCs/>
          <w:sz w:val="22"/>
          <w:szCs w:val="22"/>
        </w:rPr>
      </w:pPr>
      <w:r w:rsidRPr="0014639F">
        <w:rPr>
          <w:rFonts w:ascii="Calibri" w:hAnsi="Calibri" w:cs="Calibri"/>
          <w:b/>
          <w:bCs/>
          <w:sz w:val="22"/>
          <w:szCs w:val="22"/>
        </w:rPr>
        <w:t>DISCRETIONARY VS. NON-DISCRETIONARY LEAVE</w:t>
      </w:r>
    </w:p>
    <w:p w:rsidR="00F830BF" w:rsidRDefault="00F830BF" w:rsidP="00F830BF">
      <w:pPr>
        <w:rPr>
          <w:rFonts w:ascii="Calibri" w:hAnsi="Calibri" w:cs="Calibri"/>
          <w:sz w:val="22"/>
          <w:szCs w:val="22"/>
        </w:rPr>
      </w:pPr>
      <w:r w:rsidRPr="0014639F">
        <w:rPr>
          <w:rFonts w:ascii="Calibri" w:hAnsi="Calibri" w:cs="Calibri"/>
          <w:sz w:val="22"/>
          <w:szCs w:val="22"/>
        </w:rPr>
        <w:t>Employees must differentiate the way state personal leave is used.</w:t>
      </w:r>
    </w:p>
    <w:p w:rsidR="00F830BF" w:rsidRDefault="00F830BF" w:rsidP="00F830BF">
      <w:pPr>
        <w:pStyle w:val="ListParagraph"/>
        <w:numPr>
          <w:ilvl w:val="0"/>
          <w:numId w:val="2"/>
        </w:numPr>
        <w:rPr>
          <w:rFonts w:ascii="Calibri" w:hAnsi="Calibri" w:cs="Calibri"/>
          <w:sz w:val="22"/>
          <w:szCs w:val="22"/>
        </w:rPr>
      </w:pPr>
      <w:r w:rsidRPr="0014639F">
        <w:rPr>
          <w:rFonts w:ascii="Calibri" w:hAnsi="Calibri" w:cs="Calibri"/>
          <w:sz w:val="22"/>
          <w:szCs w:val="22"/>
        </w:rPr>
        <w:t>Non-discretionary use of leave shall be for the same reasons and in the same manner as state sick</w:t>
      </w:r>
      <w:r>
        <w:rPr>
          <w:rFonts w:ascii="Calibri" w:hAnsi="Calibri" w:cs="Calibri"/>
          <w:sz w:val="22"/>
          <w:szCs w:val="22"/>
        </w:rPr>
        <w:t xml:space="preserve"> </w:t>
      </w:r>
      <w:r w:rsidRPr="0014639F">
        <w:rPr>
          <w:rFonts w:ascii="Calibri" w:hAnsi="Calibri" w:cs="Calibri"/>
          <w:sz w:val="22"/>
          <w:szCs w:val="22"/>
        </w:rPr>
        <w:t>accumulated before May 30, 1995 [See DEC(LEGAL)].</w:t>
      </w:r>
    </w:p>
    <w:p w:rsidR="00F830BF" w:rsidRPr="0014639F" w:rsidRDefault="00F830BF" w:rsidP="00F830BF">
      <w:pPr>
        <w:pStyle w:val="ListParagraph"/>
        <w:numPr>
          <w:ilvl w:val="0"/>
          <w:numId w:val="2"/>
        </w:numPr>
        <w:rPr>
          <w:rFonts w:ascii="Calibri" w:hAnsi="Calibri" w:cs="Calibri"/>
          <w:sz w:val="22"/>
          <w:szCs w:val="22"/>
        </w:rPr>
      </w:pPr>
      <w:r w:rsidRPr="0014639F">
        <w:rPr>
          <w:rFonts w:ascii="Calibri" w:hAnsi="Calibri" w:cs="Calibri"/>
          <w:sz w:val="22"/>
          <w:szCs w:val="22"/>
        </w:rPr>
        <w:t>Discretionary use of leave is at the individual employee’s discretion, subject to limitations set out</w:t>
      </w:r>
      <w:r>
        <w:rPr>
          <w:rFonts w:ascii="Calibri" w:hAnsi="Calibri" w:cs="Calibri"/>
          <w:sz w:val="22"/>
          <w:szCs w:val="22"/>
        </w:rPr>
        <w:t xml:space="preserve"> </w:t>
      </w:r>
      <w:r w:rsidRPr="0014639F">
        <w:rPr>
          <w:rFonts w:ascii="Calibri" w:hAnsi="Calibri" w:cs="Calibri"/>
          <w:sz w:val="22"/>
          <w:szCs w:val="22"/>
        </w:rPr>
        <w:t>below. The employee shall submit a written request for discretionary use of state personal leave to</w:t>
      </w:r>
      <w:r>
        <w:rPr>
          <w:rFonts w:ascii="Calibri" w:hAnsi="Calibri" w:cs="Calibri"/>
          <w:sz w:val="22"/>
          <w:szCs w:val="22"/>
        </w:rPr>
        <w:t xml:space="preserve"> </w:t>
      </w:r>
      <w:r w:rsidRPr="0014639F">
        <w:rPr>
          <w:rFonts w:ascii="Calibri" w:hAnsi="Calibri" w:cs="Calibri"/>
          <w:sz w:val="22"/>
          <w:szCs w:val="22"/>
        </w:rPr>
        <w:t>the immediate supervisor or designee in advance in accordance with administrative regulations. In</w:t>
      </w:r>
      <w:r>
        <w:rPr>
          <w:rFonts w:ascii="Calibri" w:hAnsi="Calibri" w:cs="Calibri"/>
          <w:sz w:val="22"/>
          <w:szCs w:val="22"/>
        </w:rPr>
        <w:t xml:space="preserve"> </w:t>
      </w:r>
      <w:r w:rsidRPr="0014639F">
        <w:rPr>
          <w:rFonts w:ascii="Calibri" w:hAnsi="Calibri" w:cs="Calibri"/>
          <w:sz w:val="22"/>
          <w:szCs w:val="22"/>
        </w:rPr>
        <w:t>deciding whether to approve or deny state personal leave, the supervisor or designee shall not seek</w:t>
      </w:r>
      <w:r>
        <w:rPr>
          <w:rFonts w:ascii="Calibri" w:hAnsi="Calibri" w:cs="Calibri"/>
          <w:sz w:val="22"/>
          <w:szCs w:val="22"/>
        </w:rPr>
        <w:t xml:space="preserve"> </w:t>
      </w:r>
      <w:r w:rsidRPr="0014639F">
        <w:rPr>
          <w:rFonts w:ascii="Calibri" w:hAnsi="Calibri" w:cs="Calibri"/>
          <w:sz w:val="22"/>
          <w:szCs w:val="22"/>
        </w:rPr>
        <w:t>or consider the reasons for which an employee requests to use leave. The supervisor or designee</w:t>
      </w:r>
      <w:r>
        <w:rPr>
          <w:rFonts w:ascii="Calibri" w:hAnsi="Calibri" w:cs="Calibri"/>
          <w:sz w:val="22"/>
          <w:szCs w:val="22"/>
        </w:rPr>
        <w:t xml:space="preserve"> </w:t>
      </w:r>
      <w:r w:rsidRPr="0014639F">
        <w:rPr>
          <w:rFonts w:ascii="Calibri" w:hAnsi="Calibri" w:cs="Calibri"/>
          <w:sz w:val="22"/>
          <w:szCs w:val="22"/>
        </w:rPr>
        <w:t>shall, however, consider the effect of the employee’s absence on the educational program or District</w:t>
      </w:r>
      <w:r>
        <w:rPr>
          <w:rFonts w:ascii="Calibri" w:hAnsi="Calibri" w:cs="Calibri"/>
          <w:sz w:val="22"/>
          <w:szCs w:val="22"/>
        </w:rPr>
        <w:t xml:space="preserve"> </w:t>
      </w:r>
      <w:r w:rsidRPr="0014639F">
        <w:rPr>
          <w:rFonts w:ascii="Calibri" w:hAnsi="Calibri" w:cs="Calibri"/>
          <w:sz w:val="22"/>
          <w:szCs w:val="22"/>
        </w:rPr>
        <w:t>operations, as well as the availability of substitutes.</w:t>
      </w:r>
    </w:p>
    <w:p w:rsidR="00F830BF" w:rsidRPr="0043434B" w:rsidRDefault="00F830BF" w:rsidP="00F830BF">
      <w:pPr>
        <w:rPr>
          <w:rFonts w:ascii="Calibri" w:hAnsi="Calibri" w:cs="Calibri"/>
          <w:b/>
          <w:bCs/>
          <w:sz w:val="22"/>
          <w:szCs w:val="22"/>
        </w:rPr>
      </w:pPr>
      <w:r w:rsidRPr="0043434B">
        <w:rPr>
          <w:rFonts w:ascii="Calibri" w:hAnsi="Calibri" w:cs="Calibri"/>
          <w:b/>
          <w:bCs/>
          <w:sz w:val="22"/>
          <w:szCs w:val="22"/>
        </w:rPr>
        <w:t>DISCRETIONARY</w:t>
      </w:r>
    </w:p>
    <w:p w:rsidR="00F830BF" w:rsidRPr="00C63980" w:rsidRDefault="00F830BF" w:rsidP="00F830BF">
      <w:pPr>
        <w:pStyle w:val="local-1"/>
        <w:shd w:val="clear" w:color="auto" w:fill="FFFFFF"/>
        <w:spacing w:before="0" w:beforeAutospacing="0" w:after="240" w:afterAutospacing="0" w:line="276" w:lineRule="auto"/>
        <w:rPr>
          <w:rFonts w:ascii="Calibri" w:hAnsi="Calibri" w:cs="Calibri"/>
          <w:color w:val="212529"/>
          <w:sz w:val="22"/>
          <w:szCs w:val="22"/>
        </w:rPr>
      </w:pPr>
      <w:r w:rsidRPr="00C63980">
        <w:rPr>
          <w:rFonts w:ascii="Calibri" w:hAnsi="Calibri" w:cs="Calibri"/>
          <w:color w:val="212529"/>
          <w:sz w:val="22"/>
          <w:szCs w:val="22"/>
        </w:rPr>
        <w:t>In deciding whether to approve or deny a request for discretionary use of state personal leave, the supervisor shall not seek or consider the reasons for which an employee requests to use leave. The supervisor shall, however, consider the duration of the requested absence in conjunction with the effect of the employee's absence on the educational program and District operations, as well as the availability of substitutes.</w:t>
      </w:r>
    </w:p>
    <w:p w:rsidR="00F830BF" w:rsidRDefault="00F830BF" w:rsidP="00F830BF">
      <w:pPr>
        <w:pStyle w:val="local-1"/>
        <w:shd w:val="clear" w:color="auto" w:fill="FFFFFF"/>
        <w:spacing w:before="0" w:beforeAutospacing="0" w:after="240" w:afterAutospacing="0" w:line="276" w:lineRule="auto"/>
        <w:rPr>
          <w:rFonts w:ascii="Calibri" w:hAnsi="Calibri" w:cs="Calibri"/>
          <w:color w:val="212529"/>
          <w:sz w:val="22"/>
          <w:szCs w:val="22"/>
        </w:rPr>
      </w:pPr>
      <w:r w:rsidRPr="00C63980">
        <w:rPr>
          <w:rFonts w:ascii="Calibri" w:hAnsi="Calibri" w:cs="Calibri"/>
          <w:color w:val="212529"/>
          <w:sz w:val="22"/>
          <w:szCs w:val="22"/>
        </w:rPr>
        <w:t>Discretionary use of state personal leave shall not exceed three consecutive workdays.</w:t>
      </w:r>
    </w:p>
    <w:p w:rsidR="001008ED" w:rsidRDefault="001008ED" w:rsidP="001008ED">
      <w:pPr>
        <w:rPr>
          <w:rFonts w:ascii="Calibri" w:hAnsi="Calibri" w:cs="Calibri"/>
          <w:b/>
          <w:bCs/>
          <w:sz w:val="22"/>
          <w:szCs w:val="22"/>
        </w:rPr>
      </w:pPr>
      <w:r w:rsidRPr="00672BDD">
        <w:rPr>
          <w:rFonts w:ascii="Calibri" w:hAnsi="Calibri" w:cs="Calibri"/>
          <w:b/>
          <w:bCs/>
          <w:sz w:val="22"/>
          <w:szCs w:val="22"/>
        </w:rPr>
        <w:t>EXCEPTIONS</w:t>
      </w:r>
    </w:p>
    <w:p w:rsidR="001008ED" w:rsidRPr="001008ED" w:rsidRDefault="001008ED" w:rsidP="001008ED">
      <w:pPr>
        <w:rPr>
          <w:rFonts w:ascii="Calibri" w:hAnsi="Calibri" w:cs="Calibri"/>
          <w:sz w:val="22"/>
          <w:szCs w:val="22"/>
        </w:rPr>
      </w:pPr>
      <w:r w:rsidRPr="00672BDD">
        <w:rPr>
          <w:rFonts w:ascii="Calibri" w:hAnsi="Calibri" w:cs="Calibri"/>
          <w:sz w:val="22"/>
          <w:szCs w:val="22"/>
        </w:rPr>
        <w:t>Employees may submit a written request to the Superintendent or designee (</w:t>
      </w:r>
      <w:r>
        <w:rPr>
          <w:rFonts w:ascii="Calibri" w:hAnsi="Calibri" w:cs="Calibri"/>
          <w:sz w:val="22"/>
          <w:szCs w:val="22"/>
        </w:rPr>
        <w:t xml:space="preserve">Executive Director of </w:t>
      </w:r>
      <w:r w:rsidRPr="00672BDD">
        <w:rPr>
          <w:rFonts w:ascii="Calibri" w:hAnsi="Calibri" w:cs="Calibri"/>
          <w:sz w:val="22"/>
          <w:szCs w:val="22"/>
        </w:rPr>
        <w:t>Human Resources) and for</w:t>
      </w:r>
      <w:r>
        <w:rPr>
          <w:rFonts w:ascii="Calibri" w:hAnsi="Calibri" w:cs="Calibri"/>
          <w:sz w:val="22"/>
          <w:szCs w:val="22"/>
        </w:rPr>
        <w:t xml:space="preserve"> </w:t>
      </w:r>
      <w:r w:rsidRPr="00672BDD">
        <w:rPr>
          <w:rFonts w:ascii="Calibri" w:hAnsi="Calibri" w:cs="Calibri"/>
          <w:sz w:val="22"/>
          <w:szCs w:val="22"/>
        </w:rPr>
        <w:t>consideration for state exceptions to the guidelines listed above.</w:t>
      </w:r>
      <w:bookmarkStart w:id="0" w:name="_GoBack"/>
      <w:bookmarkEnd w:id="0"/>
    </w:p>
    <w:sectPr w:rsidR="001008ED" w:rsidRPr="001008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A14" w:rsidRDefault="00672A14" w:rsidP="0011111B">
      <w:pPr>
        <w:spacing w:after="0" w:line="240" w:lineRule="auto"/>
      </w:pPr>
      <w:r>
        <w:separator/>
      </w:r>
    </w:p>
  </w:endnote>
  <w:endnote w:type="continuationSeparator" w:id="0">
    <w:p w:rsidR="00672A14" w:rsidRDefault="00672A14"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A14" w:rsidRDefault="00672A14" w:rsidP="0011111B">
      <w:pPr>
        <w:spacing w:after="0" w:line="240" w:lineRule="auto"/>
      </w:pPr>
      <w:r>
        <w:separator/>
      </w:r>
    </w:p>
  </w:footnote>
  <w:footnote w:type="continuationSeparator" w:id="0">
    <w:p w:rsidR="00672A14" w:rsidRDefault="00672A14"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42F11"/>
    <w:multiLevelType w:val="hybridMultilevel"/>
    <w:tmpl w:val="B4409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1008ED"/>
    <w:rsid w:val="0011111B"/>
    <w:rsid w:val="00153553"/>
    <w:rsid w:val="00227177"/>
    <w:rsid w:val="004C5382"/>
    <w:rsid w:val="00672A14"/>
    <w:rsid w:val="006847B3"/>
    <w:rsid w:val="006A10E8"/>
    <w:rsid w:val="006E647E"/>
    <w:rsid w:val="006E7F83"/>
    <w:rsid w:val="007927C3"/>
    <w:rsid w:val="00920E0F"/>
    <w:rsid w:val="009F71A6"/>
    <w:rsid w:val="00A31D27"/>
    <w:rsid w:val="00A915FF"/>
    <w:rsid w:val="00AB16DA"/>
    <w:rsid w:val="00BE36E5"/>
    <w:rsid w:val="00E139D2"/>
    <w:rsid w:val="00F8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paragraph" w:customStyle="1" w:styleId="local-1">
    <w:name w:val="local-1"/>
    <w:basedOn w:val="Normal"/>
    <w:rsid w:val="00F830B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9F71A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6</cp:revision>
  <dcterms:created xsi:type="dcterms:W3CDTF">2023-01-11T16:48:00Z</dcterms:created>
  <dcterms:modified xsi:type="dcterms:W3CDTF">2023-08-28T16:08:00Z</dcterms:modified>
</cp:coreProperties>
</file>