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703" w:type="dxa"/>
        <w:tblInd w:w="-108" w:type="dxa"/>
        <w:tblCellMar>
          <w:top w:w="40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713"/>
        <w:gridCol w:w="990"/>
      </w:tblGrid>
      <w:tr w:rsidR="000E2820" w:rsidTr="00F366E9">
        <w:trPr>
          <w:trHeight w:val="252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20" w:rsidRPr="002C4503" w:rsidRDefault="000E2820" w:rsidP="00F366E9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 xml:space="preserve">D – Personnel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20" w:rsidRDefault="000E2820" w:rsidP="00F366E9">
            <w:pPr>
              <w:spacing w:line="259" w:lineRule="auto"/>
            </w:pPr>
            <w:r>
              <w:t>DEC</w:t>
            </w:r>
          </w:p>
        </w:tc>
      </w:tr>
      <w:tr w:rsidR="000E2820" w:rsidTr="00F366E9">
        <w:trPr>
          <w:trHeight w:val="254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20" w:rsidRDefault="000E2820" w:rsidP="00F366E9">
            <w:pPr>
              <w:spacing w:line="259" w:lineRule="auto"/>
            </w:pPr>
            <w:r>
              <w:rPr>
                <w:sz w:val="18"/>
              </w:rPr>
              <w:t xml:space="preserve">Page 1 of </w:t>
            </w:r>
            <w:r>
              <w:rPr>
                <w:sz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20" w:rsidRDefault="000E2820" w:rsidP="00F366E9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0E2820" w:rsidTr="00F366E9">
        <w:trPr>
          <w:trHeight w:val="230"/>
        </w:trPr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20" w:rsidRDefault="0092395E" w:rsidP="00F366E9">
            <w:pPr>
              <w:spacing w:line="259" w:lineRule="auto"/>
            </w:pPr>
            <w:r>
              <w:rPr>
                <w:sz w:val="18"/>
              </w:rPr>
              <w:t>Physical Assault on School Personnel</w:t>
            </w:r>
            <w:r w:rsidR="000E2820">
              <w:rPr>
                <w:sz w:val="18"/>
              </w:rPr>
              <w:t xml:space="preserve"> - 2023</w:t>
            </w:r>
          </w:p>
        </w:tc>
      </w:tr>
    </w:tbl>
    <w:p w:rsidR="000E2820" w:rsidRDefault="000E2820" w:rsidP="000E2820">
      <w:pPr>
        <w:rPr>
          <w:rFonts w:ascii="Calibri" w:hAnsi="Calibri" w:cs="Calibri"/>
          <w:b/>
          <w:bCs/>
          <w:sz w:val="22"/>
          <w:szCs w:val="22"/>
        </w:rPr>
      </w:pPr>
    </w:p>
    <w:p w:rsidR="000E2820" w:rsidRPr="00AB56FF" w:rsidRDefault="000E2820" w:rsidP="000E2820">
      <w:pPr>
        <w:rPr>
          <w:rFonts w:ascii="Calibri" w:hAnsi="Calibri" w:cs="Calibri"/>
          <w:b/>
          <w:bCs/>
          <w:sz w:val="22"/>
          <w:szCs w:val="22"/>
        </w:rPr>
      </w:pPr>
      <w:r w:rsidRPr="00AB56FF">
        <w:rPr>
          <w:rFonts w:ascii="Calibri" w:hAnsi="Calibri" w:cs="Calibri"/>
          <w:b/>
          <w:bCs/>
          <w:sz w:val="22"/>
          <w:szCs w:val="22"/>
        </w:rPr>
        <w:t>GENERAL</w:t>
      </w:r>
    </w:p>
    <w:p w:rsidR="000E2820" w:rsidRDefault="000E2820" w:rsidP="000E2820">
      <w:pPr>
        <w:rPr>
          <w:rFonts w:ascii="Calibri" w:hAnsi="Calibri" w:cs="Calibri"/>
          <w:sz w:val="22"/>
          <w:szCs w:val="22"/>
        </w:rPr>
      </w:pPr>
      <w:r w:rsidRPr="00AB56FF">
        <w:rPr>
          <w:rFonts w:ascii="Calibri" w:hAnsi="Calibri" w:cs="Calibri"/>
          <w:sz w:val="22"/>
          <w:szCs w:val="22"/>
        </w:rPr>
        <w:t>An assault is defined in Texas Penal Code §21.01 as “intentionally, knowingly, or recklessly causing bodily injury to</w:t>
      </w:r>
      <w:r>
        <w:rPr>
          <w:rFonts w:ascii="Calibri" w:hAnsi="Calibri" w:cs="Calibri"/>
          <w:sz w:val="22"/>
          <w:szCs w:val="22"/>
        </w:rPr>
        <w:t xml:space="preserve"> </w:t>
      </w:r>
      <w:r w:rsidRPr="00AB56FF">
        <w:rPr>
          <w:rFonts w:ascii="Calibri" w:hAnsi="Calibri" w:cs="Calibri"/>
          <w:sz w:val="22"/>
          <w:szCs w:val="22"/>
        </w:rPr>
        <w:t>another .... or intentionally or knowingly threatening another with imminent bodily injury ... or intentionally or</w:t>
      </w:r>
      <w:r>
        <w:rPr>
          <w:rFonts w:ascii="Calibri" w:hAnsi="Calibri" w:cs="Calibri"/>
          <w:sz w:val="22"/>
          <w:szCs w:val="22"/>
        </w:rPr>
        <w:t xml:space="preserve"> </w:t>
      </w:r>
      <w:r w:rsidRPr="00AB56FF">
        <w:rPr>
          <w:rFonts w:ascii="Calibri" w:hAnsi="Calibri" w:cs="Calibri"/>
          <w:sz w:val="22"/>
          <w:szCs w:val="22"/>
        </w:rPr>
        <w:t>knowingly causing physical contact with another when the person knows or should reasonably believe that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AB56FF">
        <w:rPr>
          <w:rFonts w:ascii="Calibri" w:hAnsi="Calibri" w:cs="Calibri"/>
          <w:sz w:val="22"/>
          <w:szCs w:val="22"/>
        </w:rPr>
        <w:t>other will regard the contact as offensive or provocative.” An aggravated assault is defined in Texas Penal Code</w:t>
      </w:r>
      <w:r>
        <w:rPr>
          <w:rFonts w:ascii="Calibri" w:hAnsi="Calibri" w:cs="Calibri"/>
          <w:sz w:val="22"/>
          <w:szCs w:val="22"/>
        </w:rPr>
        <w:t xml:space="preserve"> </w:t>
      </w:r>
      <w:r w:rsidRPr="00AB56FF">
        <w:rPr>
          <w:rFonts w:ascii="Calibri" w:hAnsi="Calibri" w:cs="Calibri"/>
          <w:sz w:val="22"/>
          <w:szCs w:val="22"/>
        </w:rPr>
        <w:t>§21.02 as “causing serious bodily injury to another or using or exhibiting a deadly weapon during the commission</w:t>
      </w:r>
      <w:r>
        <w:rPr>
          <w:rFonts w:ascii="Calibri" w:hAnsi="Calibri" w:cs="Calibri"/>
          <w:sz w:val="22"/>
          <w:szCs w:val="22"/>
        </w:rPr>
        <w:t xml:space="preserve"> </w:t>
      </w:r>
      <w:r w:rsidRPr="00AB56FF">
        <w:rPr>
          <w:rFonts w:ascii="Calibri" w:hAnsi="Calibri" w:cs="Calibri"/>
          <w:sz w:val="22"/>
          <w:szCs w:val="22"/>
        </w:rPr>
        <w:t>of an assault.”</w:t>
      </w:r>
    </w:p>
    <w:p w:rsidR="000E2820" w:rsidRDefault="000E2820" w:rsidP="000E2820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AB56FF">
        <w:rPr>
          <w:rFonts w:ascii="Calibri" w:hAnsi="Calibri" w:cs="Calibri"/>
          <w:sz w:val="22"/>
          <w:szCs w:val="22"/>
        </w:rPr>
        <w:t>Any employee who believes that he/she has been physically assaulted shall submit his/her complaint in</w:t>
      </w:r>
      <w:r>
        <w:rPr>
          <w:rFonts w:ascii="Calibri" w:hAnsi="Calibri" w:cs="Calibri"/>
          <w:sz w:val="22"/>
          <w:szCs w:val="22"/>
        </w:rPr>
        <w:t xml:space="preserve"> </w:t>
      </w:r>
      <w:r w:rsidRPr="00AB56FF">
        <w:rPr>
          <w:rFonts w:ascii="Calibri" w:hAnsi="Calibri" w:cs="Calibri"/>
          <w:sz w:val="22"/>
          <w:szCs w:val="22"/>
        </w:rPr>
        <w:t>writing to the principal or supervisor for non-campus-based personnel.</w:t>
      </w:r>
    </w:p>
    <w:p w:rsidR="000E2820" w:rsidRDefault="000E2820" w:rsidP="000E2820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AB56FF">
        <w:rPr>
          <w:rFonts w:ascii="Calibri" w:hAnsi="Calibri" w:cs="Calibri"/>
          <w:sz w:val="22"/>
          <w:szCs w:val="22"/>
        </w:rPr>
        <w:t>The complaint should be submitted immediately after the assault occurs, but no later than 24 hours</w:t>
      </w:r>
      <w:r>
        <w:rPr>
          <w:rFonts w:ascii="Calibri" w:hAnsi="Calibri" w:cs="Calibri"/>
          <w:sz w:val="22"/>
          <w:szCs w:val="22"/>
        </w:rPr>
        <w:t xml:space="preserve"> </w:t>
      </w:r>
      <w:r w:rsidRPr="00AB56FF">
        <w:rPr>
          <w:rFonts w:ascii="Calibri" w:hAnsi="Calibri" w:cs="Calibri"/>
          <w:sz w:val="22"/>
          <w:szCs w:val="22"/>
        </w:rPr>
        <w:t>following the incident.</w:t>
      </w:r>
    </w:p>
    <w:p w:rsidR="000E2820" w:rsidRDefault="000E2820" w:rsidP="000E2820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AB56FF">
        <w:rPr>
          <w:rFonts w:ascii="Calibri" w:hAnsi="Calibri" w:cs="Calibri"/>
          <w:sz w:val="22"/>
          <w:szCs w:val="22"/>
        </w:rPr>
        <w:t>The complaint must describe in detail how the incident occurred, the name (s) of individual (s)</w:t>
      </w:r>
      <w:r>
        <w:rPr>
          <w:rFonts w:ascii="Calibri" w:hAnsi="Calibri" w:cs="Calibri"/>
          <w:sz w:val="22"/>
          <w:szCs w:val="22"/>
        </w:rPr>
        <w:t xml:space="preserve"> </w:t>
      </w:r>
      <w:r w:rsidRPr="00AB56FF">
        <w:rPr>
          <w:rFonts w:ascii="Calibri" w:hAnsi="Calibri" w:cs="Calibri"/>
          <w:sz w:val="22"/>
          <w:szCs w:val="22"/>
        </w:rPr>
        <w:t>involved, the name (s) of anyone who might have witnessed the incident, and the injury suffered</w:t>
      </w:r>
      <w:r>
        <w:rPr>
          <w:rFonts w:ascii="Calibri" w:hAnsi="Calibri" w:cs="Calibri"/>
          <w:sz w:val="22"/>
          <w:szCs w:val="22"/>
        </w:rPr>
        <w:t xml:space="preserve"> </w:t>
      </w:r>
      <w:r w:rsidRPr="00AB56FF">
        <w:rPr>
          <w:rFonts w:ascii="Calibri" w:hAnsi="Calibri" w:cs="Calibri"/>
          <w:sz w:val="22"/>
          <w:szCs w:val="22"/>
        </w:rPr>
        <w:t>from the incident.</w:t>
      </w:r>
    </w:p>
    <w:p w:rsidR="000E2820" w:rsidRPr="00AB56FF" w:rsidRDefault="000E2820" w:rsidP="000E2820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AB56FF">
        <w:rPr>
          <w:rFonts w:ascii="Calibri" w:hAnsi="Calibri" w:cs="Calibri"/>
          <w:sz w:val="22"/>
          <w:szCs w:val="22"/>
        </w:rPr>
        <w:t>The First Report of Injury is to be filed by the Worker’s Compensation designee for the</w:t>
      </w:r>
    </w:p>
    <w:p w:rsidR="000E2820" w:rsidRDefault="000E2820" w:rsidP="000E2820">
      <w:pPr>
        <w:pStyle w:val="ListParagraph"/>
        <w:spacing w:after="0"/>
        <w:ind w:left="1440"/>
        <w:rPr>
          <w:rFonts w:ascii="Calibri" w:hAnsi="Calibri" w:cs="Calibri"/>
          <w:sz w:val="22"/>
          <w:szCs w:val="22"/>
        </w:rPr>
      </w:pPr>
      <w:r w:rsidRPr="00AB56FF">
        <w:rPr>
          <w:rFonts w:ascii="Calibri" w:hAnsi="Calibri" w:cs="Calibri"/>
          <w:sz w:val="22"/>
          <w:szCs w:val="22"/>
        </w:rPr>
        <w:t>campus/department</w:t>
      </w:r>
      <w:r>
        <w:rPr>
          <w:rFonts w:ascii="Calibri" w:hAnsi="Calibri" w:cs="Calibri"/>
          <w:sz w:val="22"/>
          <w:szCs w:val="22"/>
        </w:rPr>
        <w:t>.</w:t>
      </w:r>
    </w:p>
    <w:p w:rsidR="000E2820" w:rsidRDefault="000E2820" w:rsidP="000E2820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AB56FF">
        <w:rPr>
          <w:rFonts w:ascii="Calibri" w:hAnsi="Calibri" w:cs="Calibri"/>
          <w:sz w:val="22"/>
          <w:szCs w:val="22"/>
        </w:rPr>
        <w:t>If the incident involved misconduct is by a student, appropriate personnel shall also submit a referral</w:t>
      </w:r>
      <w:r>
        <w:rPr>
          <w:rFonts w:ascii="Calibri" w:hAnsi="Calibri" w:cs="Calibri"/>
          <w:sz w:val="22"/>
          <w:szCs w:val="22"/>
        </w:rPr>
        <w:t xml:space="preserve"> </w:t>
      </w:r>
      <w:r w:rsidRPr="00AB56FF">
        <w:rPr>
          <w:rFonts w:ascii="Calibri" w:hAnsi="Calibri" w:cs="Calibri"/>
          <w:sz w:val="22"/>
          <w:szCs w:val="22"/>
        </w:rPr>
        <w:t>detailing the student’s misconduct to the principal or designee. If a student is the one who is alleged to</w:t>
      </w:r>
      <w:r>
        <w:rPr>
          <w:rFonts w:ascii="Calibri" w:hAnsi="Calibri" w:cs="Calibri"/>
          <w:sz w:val="22"/>
          <w:szCs w:val="22"/>
        </w:rPr>
        <w:t xml:space="preserve"> </w:t>
      </w:r>
      <w:r w:rsidRPr="00AB56FF">
        <w:rPr>
          <w:rFonts w:ascii="Calibri" w:hAnsi="Calibri" w:cs="Calibri"/>
          <w:sz w:val="22"/>
          <w:szCs w:val="22"/>
        </w:rPr>
        <w:t>have committed the assault, the principal shall follow procedures regarding investigation of serious</w:t>
      </w:r>
      <w:r>
        <w:rPr>
          <w:rFonts w:ascii="Calibri" w:hAnsi="Calibri" w:cs="Calibri"/>
          <w:sz w:val="22"/>
          <w:szCs w:val="22"/>
        </w:rPr>
        <w:t xml:space="preserve"> </w:t>
      </w:r>
      <w:r w:rsidRPr="00AB56FF">
        <w:rPr>
          <w:rFonts w:ascii="Calibri" w:hAnsi="Calibri" w:cs="Calibri"/>
          <w:sz w:val="22"/>
          <w:szCs w:val="22"/>
        </w:rPr>
        <w:t>incidents.</w:t>
      </w:r>
    </w:p>
    <w:p w:rsidR="000E2820" w:rsidRDefault="000E2820" w:rsidP="000E2820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AB56FF">
        <w:rPr>
          <w:rFonts w:ascii="Calibri" w:hAnsi="Calibri" w:cs="Calibri"/>
          <w:sz w:val="22"/>
          <w:szCs w:val="22"/>
        </w:rPr>
        <w:t>The principal shall contact the police, either by calling the police or by contacting the officer</w:t>
      </w:r>
      <w:r>
        <w:rPr>
          <w:rFonts w:ascii="Calibri" w:hAnsi="Calibri" w:cs="Calibri"/>
          <w:sz w:val="22"/>
          <w:szCs w:val="22"/>
        </w:rPr>
        <w:t xml:space="preserve"> </w:t>
      </w:r>
      <w:r w:rsidRPr="00AB56FF">
        <w:rPr>
          <w:rFonts w:ascii="Calibri" w:hAnsi="Calibri" w:cs="Calibri"/>
          <w:sz w:val="22"/>
          <w:szCs w:val="22"/>
        </w:rPr>
        <w:t>assigned to the campus. The officer will make a report to the police or file charges against the person</w:t>
      </w:r>
      <w:r>
        <w:rPr>
          <w:rFonts w:ascii="Calibri" w:hAnsi="Calibri" w:cs="Calibri"/>
          <w:sz w:val="22"/>
          <w:szCs w:val="22"/>
        </w:rPr>
        <w:t xml:space="preserve"> </w:t>
      </w:r>
      <w:r w:rsidRPr="00AB56FF">
        <w:rPr>
          <w:rFonts w:ascii="Calibri" w:hAnsi="Calibri" w:cs="Calibri"/>
          <w:sz w:val="22"/>
          <w:szCs w:val="22"/>
        </w:rPr>
        <w:t>alleged to have assaulted him/her.</w:t>
      </w:r>
    </w:p>
    <w:p w:rsidR="000E2820" w:rsidRDefault="000E2820" w:rsidP="000E2820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AB56FF">
        <w:rPr>
          <w:rFonts w:ascii="Calibri" w:hAnsi="Calibri" w:cs="Calibri"/>
          <w:sz w:val="22"/>
          <w:szCs w:val="22"/>
        </w:rPr>
        <w:t>The principal shall contact the police, either by calling the police or contacting the officer</w:t>
      </w:r>
      <w:r>
        <w:rPr>
          <w:rFonts w:ascii="Calibri" w:hAnsi="Calibri" w:cs="Calibri"/>
          <w:sz w:val="22"/>
          <w:szCs w:val="22"/>
        </w:rPr>
        <w:t xml:space="preserve"> </w:t>
      </w:r>
      <w:r w:rsidRPr="00AB56FF">
        <w:rPr>
          <w:rFonts w:ascii="Calibri" w:hAnsi="Calibri" w:cs="Calibri"/>
          <w:sz w:val="22"/>
          <w:szCs w:val="22"/>
        </w:rPr>
        <w:t>assigned to the campus. The officer to make a report to the police or file charges against the person</w:t>
      </w:r>
      <w:r>
        <w:rPr>
          <w:rFonts w:ascii="Calibri" w:hAnsi="Calibri" w:cs="Calibri"/>
          <w:sz w:val="22"/>
          <w:szCs w:val="22"/>
        </w:rPr>
        <w:t xml:space="preserve"> </w:t>
      </w:r>
      <w:r w:rsidRPr="00AB56FF">
        <w:rPr>
          <w:rFonts w:ascii="Calibri" w:hAnsi="Calibri" w:cs="Calibri"/>
          <w:sz w:val="22"/>
          <w:szCs w:val="22"/>
        </w:rPr>
        <w:t>alleged to have assaulted him/her.</w:t>
      </w:r>
    </w:p>
    <w:p w:rsidR="000E2820" w:rsidRDefault="000E2820" w:rsidP="000E2820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AB56FF">
        <w:rPr>
          <w:rFonts w:ascii="Calibri" w:hAnsi="Calibri" w:cs="Calibri"/>
          <w:sz w:val="22"/>
          <w:szCs w:val="22"/>
        </w:rPr>
        <w:lastRenderedPageBreak/>
        <w:t>The principal shall ensure that the school nurse examines all the people involved, whether adult or</w:t>
      </w:r>
      <w:r>
        <w:rPr>
          <w:rFonts w:ascii="Calibri" w:hAnsi="Calibri" w:cs="Calibri"/>
          <w:sz w:val="22"/>
          <w:szCs w:val="22"/>
        </w:rPr>
        <w:t xml:space="preserve"> </w:t>
      </w:r>
      <w:r w:rsidRPr="00AB56FF">
        <w:rPr>
          <w:rFonts w:ascii="Calibri" w:hAnsi="Calibri" w:cs="Calibri"/>
          <w:sz w:val="22"/>
          <w:szCs w:val="22"/>
        </w:rPr>
        <w:t>student, to offer medical aid and to document the injuries sustained. The nurse shall follow District</w:t>
      </w:r>
      <w:r>
        <w:rPr>
          <w:rFonts w:ascii="Calibri" w:hAnsi="Calibri" w:cs="Calibri"/>
          <w:sz w:val="22"/>
          <w:szCs w:val="22"/>
        </w:rPr>
        <w:t xml:space="preserve"> </w:t>
      </w:r>
      <w:r w:rsidRPr="00FD22FA">
        <w:rPr>
          <w:rFonts w:ascii="Calibri" w:hAnsi="Calibri" w:cs="Calibri"/>
          <w:sz w:val="22"/>
          <w:szCs w:val="22"/>
        </w:rPr>
        <w:t>procedures in reporting the injury.</w:t>
      </w:r>
    </w:p>
    <w:p w:rsidR="000E2820" w:rsidRDefault="000E2820" w:rsidP="000E2820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FD22FA">
        <w:rPr>
          <w:rFonts w:ascii="Calibri" w:hAnsi="Calibri" w:cs="Calibri"/>
          <w:sz w:val="22"/>
          <w:szCs w:val="22"/>
        </w:rPr>
        <w:t>If the employee receives other medical attention for any injury (i.e., personal doctor, clinic, etc.) he/she</w:t>
      </w:r>
      <w:r>
        <w:rPr>
          <w:rFonts w:ascii="Calibri" w:hAnsi="Calibri" w:cs="Calibri"/>
          <w:sz w:val="22"/>
          <w:szCs w:val="22"/>
        </w:rPr>
        <w:t xml:space="preserve"> </w:t>
      </w:r>
      <w:r w:rsidRPr="00FD22FA">
        <w:rPr>
          <w:rFonts w:ascii="Calibri" w:hAnsi="Calibri" w:cs="Calibri"/>
          <w:sz w:val="22"/>
          <w:szCs w:val="22"/>
        </w:rPr>
        <w:t>If the employee receives other medical attention for any injury (i.e., personal doctor, clinic, etc</w:t>
      </w:r>
      <w:r>
        <w:rPr>
          <w:rFonts w:ascii="Calibri" w:hAnsi="Calibri" w:cs="Calibri"/>
          <w:sz w:val="22"/>
          <w:szCs w:val="22"/>
        </w:rPr>
        <w:t>.</w:t>
      </w:r>
      <w:r w:rsidRPr="00FD22FA">
        <w:rPr>
          <w:rFonts w:ascii="Calibri" w:hAnsi="Calibri" w:cs="Calibri"/>
          <w:sz w:val="22"/>
          <w:szCs w:val="22"/>
        </w:rPr>
        <w:t>) he/she shall also submit a copy of the medical report to the Benefits Specialist. Shall also submit a copy of the medical report to the Human Resources Benefits Coordinator</w:t>
      </w:r>
      <w:r>
        <w:rPr>
          <w:rFonts w:ascii="Calibri" w:hAnsi="Calibri" w:cs="Calibri"/>
          <w:sz w:val="22"/>
          <w:szCs w:val="22"/>
        </w:rPr>
        <w:t>.</w:t>
      </w:r>
    </w:p>
    <w:p w:rsidR="000E2820" w:rsidRDefault="000E2820" w:rsidP="000E2820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B468B0">
        <w:rPr>
          <w:rFonts w:ascii="Calibri" w:hAnsi="Calibri" w:cs="Calibri"/>
          <w:sz w:val="22"/>
          <w:szCs w:val="22"/>
        </w:rPr>
        <w:t>The principal shall schedule a meeting with the employee within one school day after the principal</w:t>
      </w:r>
      <w:r>
        <w:rPr>
          <w:rFonts w:ascii="Calibri" w:hAnsi="Calibri" w:cs="Calibri"/>
          <w:sz w:val="22"/>
          <w:szCs w:val="22"/>
        </w:rPr>
        <w:t xml:space="preserve"> </w:t>
      </w:r>
      <w:r w:rsidRPr="00B468B0">
        <w:rPr>
          <w:rFonts w:ascii="Calibri" w:hAnsi="Calibri" w:cs="Calibri"/>
          <w:sz w:val="22"/>
          <w:szCs w:val="22"/>
        </w:rPr>
        <w:t>receives the complaint. During this meeting, the principal shall review the complaint with the employee</w:t>
      </w:r>
      <w:r>
        <w:rPr>
          <w:rFonts w:ascii="Calibri" w:hAnsi="Calibri" w:cs="Calibri"/>
          <w:sz w:val="22"/>
          <w:szCs w:val="22"/>
        </w:rPr>
        <w:t xml:space="preserve"> </w:t>
      </w:r>
      <w:r w:rsidRPr="00B468B0">
        <w:rPr>
          <w:rFonts w:ascii="Calibri" w:hAnsi="Calibri" w:cs="Calibri"/>
          <w:sz w:val="22"/>
          <w:szCs w:val="22"/>
        </w:rPr>
        <w:t>and ascertain whether any additional information is necessary to aid in the investigation. The principal</w:t>
      </w:r>
      <w:r>
        <w:rPr>
          <w:rFonts w:ascii="Calibri" w:hAnsi="Calibri" w:cs="Calibri"/>
          <w:sz w:val="22"/>
          <w:szCs w:val="22"/>
        </w:rPr>
        <w:t xml:space="preserve"> </w:t>
      </w:r>
      <w:r w:rsidRPr="00B468B0">
        <w:rPr>
          <w:rFonts w:ascii="Calibri" w:hAnsi="Calibri" w:cs="Calibri"/>
          <w:sz w:val="22"/>
          <w:szCs w:val="22"/>
        </w:rPr>
        <w:t>shall ask the employee to sign a medical release form allowing the District to communicate with the</w:t>
      </w:r>
      <w:r>
        <w:rPr>
          <w:rFonts w:ascii="Calibri" w:hAnsi="Calibri" w:cs="Calibri"/>
          <w:sz w:val="22"/>
          <w:szCs w:val="22"/>
        </w:rPr>
        <w:t xml:space="preserve"> </w:t>
      </w:r>
      <w:r w:rsidRPr="00B468B0">
        <w:rPr>
          <w:rFonts w:ascii="Calibri" w:hAnsi="Calibri" w:cs="Calibri"/>
          <w:sz w:val="22"/>
          <w:szCs w:val="22"/>
        </w:rPr>
        <w:t>medical staff that treated the employee for the injury and any other medical staff that might have</w:t>
      </w:r>
      <w:r>
        <w:rPr>
          <w:rFonts w:ascii="Calibri" w:hAnsi="Calibri" w:cs="Calibri"/>
          <w:sz w:val="22"/>
          <w:szCs w:val="22"/>
        </w:rPr>
        <w:t xml:space="preserve"> </w:t>
      </w:r>
      <w:r w:rsidRPr="00B468B0">
        <w:rPr>
          <w:rFonts w:ascii="Calibri" w:hAnsi="Calibri" w:cs="Calibri"/>
          <w:sz w:val="22"/>
          <w:szCs w:val="22"/>
        </w:rPr>
        <w:t>treated the employee about a similar or related condition.</w:t>
      </w:r>
    </w:p>
    <w:p w:rsidR="000E2820" w:rsidRDefault="000E2820" w:rsidP="000E2820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B468B0">
        <w:rPr>
          <w:rFonts w:ascii="Calibri" w:hAnsi="Calibri" w:cs="Calibri"/>
          <w:sz w:val="22"/>
          <w:szCs w:val="22"/>
        </w:rPr>
        <w:t>Filing an assault report does not eliminate the need for the employee to file a Worker’s Compensation</w:t>
      </w:r>
      <w:r>
        <w:rPr>
          <w:rFonts w:ascii="Calibri" w:hAnsi="Calibri" w:cs="Calibri"/>
          <w:sz w:val="22"/>
          <w:szCs w:val="22"/>
        </w:rPr>
        <w:t xml:space="preserve"> </w:t>
      </w:r>
      <w:r w:rsidRPr="00B468B0">
        <w:rPr>
          <w:rFonts w:ascii="Calibri" w:hAnsi="Calibri" w:cs="Calibri"/>
          <w:sz w:val="22"/>
          <w:szCs w:val="22"/>
        </w:rPr>
        <w:t>Injury Report. [See Administrative Regulations Reporting Worker’s Compensation]</w:t>
      </w:r>
    </w:p>
    <w:p w:rsidR="000E2820" w:rsidRDefault="000E2820" w:rsidP="000E2820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B468B0">
        <w:rPr>
          <w:rFonts w:ascii="Calibri" w:hAnsi="Calibri" w:cs="Calibri"/>
          <w:sz w:val="22"/>
          <w:szCs w:val="22"/>
        </w:rPr>
        <w:t>The principal shall conduct a thorough formal investigation, including gathering written witness</w:t>
      </w:r>
      <w:r>
        <w:rPr>
          <w:rFonts w:ascii="Calibri" w:hAnsi="Calibri" w:cs="Calibri"/>
          <w:sz w:val="22"/>
          <w:szCs w:val="22"/>
        </w:rPr>
        <w:t xml:space="preserve"> </w:t>
      </w:r>
      <w:r w:rsidRPr="00B468B0">
        <w:rPr>
          <w:rFonts w:ascii="Calibri" w:hAnsi="Calibri" w:cs="Calibri"/>
          <w:sz w:val="22"/>
          <w:szCs w:val="22"/>
        </w:rPr>
        <w:t>statements for anyone who can offer information.</w:t>
      </w:r>
    </w:p>
    <w:p w:rsidR="000E2820" w:rsidRDefault="000E2820" w:rsidP="000E2820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B468B0">
        <w:rPr>
          <w:rFonts w:ascii="Calibri" w:hAnsi="Calibri" w:cs="Calibri"/>
          <w:sz w:val="22"/>
          <w:szCs w:val="22"/>
        </w:rPr>
        <w:t>Should the investigation reveal evidence that support more serious disciplinary action against a student,</w:t>
      </w:r>
      <w:r>
        <w:rPr>
          <w:rFonts w:ascii="Calibri" w:hAnsi="Calibri" w:cs="Calibri"/>
          <w:sz w:val="22"/>
          <w:szCs w:val="22"/>
        </w:rPr>
        <w:t xml:space="preserve"> </w:t>
      </w:r>
      <w:r w:rsidRPr="00B468B0">
        <w:rPr>
          <w:rFonts w:ascii="Calibri" w:hAnsi="Calibri" w:cs="Calibri"/>
          <w:sz w:val="22"/>
          <w:szCs w:val="22"/>
        </w:rPr>
        <w:t>the principal shall follow those procedures regarding placement in a DAEP, etc.</w:t>
      </w:r>
    </w:p>
    <w:p w:rsidR="000E2820" w:rsidRDefault="000E2820" w:rsidP="000E2820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B468B0">
        <w:rPr>
          <w:rFonts w:ascii="Calibri" w:hAnsi="Calibri" w:cs="Calibri"/>
          <w:sz w:val="22"/>
          <w:szCs w:val="22"/>
        </w:rPr>
        <w:t>The principal shall summarize his/her investigative efforts in a memo and submit the memo and copies of</w:t>
      </w:r>
      <w:r>
        <w:rPr>
          <w:rFonts w:ascii="Calibri" w:hAnsi="Calibri" w:cs="Calibri"/>
          <w:sz w:val="22"/>
          <w:szCs w:val="22"/>
        </w:rPr>
        <w:t xml:space="preserve"> </w:t>
      </w:r>
      <w:r w:rsidRPr="00125035">
        <w:rPr>
          <w:rFonts w:ascii="Calibri" w:hAnsi="Calibri" w:cs="Calibri"/>
          <w:sz w:val="22"/>
          <w:szCs w:val="22"/>
        </w:rPr>
        <w:t>all data to the Human Resources Department</w:t>
      </w:r>
      <w:r>
        <w:rPr>
          <w:rFonts w:ascii="Calibri" w:hAnsi="Calibri" w:cs="Calibri"/>
          <w:sz w:val="22"/>
          <w:szCs w:val="22"/>
        </w:rPr>
        <w:t>.</w:t>
      </w:r>
    </w:p>
    <w:p w:rsidR="000E2820" w:rsidRPr="00125035" w:rsidRDefault="000E2820" w:rsidP="000E2820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125035">
        <w:rPr>
          <w:rFonts w:ascii="Calibri" w:hAnsi="Calibri" w:cs="Calibri"/>
          <w:sz w:val="22"/>
          <w:szCs w:val="22"/>
        </w:rPr>
        <w:t>The Human Resources Department will analyze the data gathered,</w:t>
      </w:r>
      <w:r>
        <w:rPr>
          <w:rFonts w:ascii="Calibri" w:hAnsi="Calibri" w:cs="Calibri"/>
          <w:sz w:val="22"/>
          <w:szCs w:val="22"/>
        </w:rPr>
        <w:t xml:space="preserve"> report the information and recommendations to </w:t>
      </w:r>
      <w:bookmarkStart w:id="0" w:name="_GoBack"/>
      <w:bookmarkEnd w:id="0"/>
      <w:r w:rsidR="009E1CDD" w:rsidRPr="00125035">
        <w:rPr>
          <w:rFonts w:ascii="Calibri" w:hAnsi="Calibri" w:cs="Calibri"/>
          <w:sz w:val="22"/>
          <w:szCs w:val="22"/>
        </w:rPr>
        <w:t>decide</w:t>
      </w:r>
      <w:r w:rsidRPr="00125035">
        <w:rPr>
          <w:rFonts w:ascii="Calibri" w:hAnsi="Calibri" w:cs="Calibri"/>
          <w:sz w:val="22"/>
          <w:szCs w:val="22"/>
        </w:rPr>
        <w:t xml:space="preserve"> on whether</w:t>
      </w:r>
      <w:r>
        <w:rPr>
          <w:rFonts w:ascii="Calibri" w:hAnsi="Calibri" w:cs="Calibri"/>
          <w:sz w:val="22"/>
          <w:szCs w:val="22"/>
        </w:rPr>
        <w:t xml:space="preserve"> </w:t>
      </w:r>
      <w:r w:rsidRPr="00125035">
        <w:rPr>
          <w:rFonts w:ascii="Calibri" w:hAnsi="Calibri" w:cs="Calibri"/>
          <w:sz w:val="22"/>
          <w:szCs w:val="22"/>
        </w:rPr>
        <w:t xml:space="preserve">assault leave will be approved. </w:t>
      </w:r>
      <w:r>
        <w:rPr>
          <w:rFonts w:ascii="Calibri" w:hAnsi="Calibri" w:cs="Calibri"/>
          <w:sz w:val="22"/>
          <w:szCs w:val="22"/>
        </w:rPr>
        <w:t xml:space="preserve">If approved, HR </w:t>
      </w:r>
      <w:r w:rsidRPr="00125035">
        <w:rPr>
          <w:rFonts w:ascii="Calibri" w:hAnsi="Calibri" w:cs="Calibri"/>
          <w:sz w:val="22"/>
          <w:szCs w:val="22"/>
        </w:rPr>
        <w:t>will notify the principal, employee, and the payroll office. If</w:t>
      </w:r>
      <w:r>
        <w:rPr>
          <w:rFonts w:ascii="Calibri" w:hAnsi="Calibri" w:cs="Calibri"/>
          <w:sz w:val="22"/>
          <w:szCs w:val="22"/>
        </w:rPr>
        <w:t xml:space="preserve"> </w:t>
      </w:r>
      <w:r w:rsidRPr="00125035">
        <w:rPr>
          <w:rFonts w:ascii="Calibri" w:hAnsi="Calibri" w:cs="Calibri"/>
          <w:sz w:val="22"/>
          <w:szCs w:val="22"/>
        </w:rPr>
        <w:t>assault leave is granted, the days of leave will not be deducted from the employee’s accrued personal</w:t>
      </w:r>
      <w:r>
        <w:rPr>
          <w:rFonts w:ascii="Calibri" w:hAnsi="Calibri" w:cs="Calibri"/>
          <w:sz w:val="22"/>
          <w:szCs w:val="22"/>
        </w:rPr>
        <w:t xml:space="preserve"> </w:t>
      </w:r>
      <w:r w:rsidRPr="00125035">
        <w:rPr>
          <w:rFonts w:ascii="Calibri" w:hAnsi="Calibri" w:cs="Calibri"/>
          <w:sz w:val="22"/>
          <w:szCs w:val="22"/>
        </w:rPr>
        <w:t>leave. An assault leave may not extend than two years beyond the date of the assault. If the assault leave</w:t>
      </w:r>
      <w:r>
        <w:rPr>
          <w:rFonts w:ascii="Calibri" w:hAnsi="Calibri" w:cs="Calibri"/>
          <w:sz w:val="22"/>
          <w:szCs w:val="22"/>
        </w:rPr>
        <w:t xml:space="preserve"> </w:t>
      </w:r>
      <w:r w:rsidRPr="00125035">
        <w:rPr>
          <w:rFonts w:ascii="Calibri" w:hAnsi="Calibri" w:cs="Calibri"/>
          <w:sz w:val="22"/>
          <w:szCs w:val="22"/>
        </w:rPr>
        <w:t>is not granted, the days of absence will be deducted from the employee’s accrued personal leave or</w:t>
      </w:r>
      <w:r>
        <w:rPr>
          <w:rFonts w:ascii="Calibri" w:hAnsi="Calibri" w:cs="Calibri"/>
          <w:sz w:val="22"/>
          <w:szCs w:val="22"/>
        </w:rPr>
        <w:t xml:space="preserve"> </w:t>
      </w:r>
      <w:r w:rsidRPr="00125035">
        <w:rPr>
          <w:rFonts w:ascii="Calibri" w:hAnsi="Calibri" w:cs="Calibri"/>
          <w:sz w:val="22"/>
          <w:szCs w:val="22"/>
        </w:rPr>
        <w:t>against the pay if the accrued days are insufficient.</w:t>
      </w:r>
    </w:p>
    <w:p w:rsidR="000E2820" w:rsidRDefault="000E2820" w:rsidP="000E2820">
      <w:pPr>
        <w:pStyle w:val="ListParagraph"/>
        <w:spacing w:after="0"/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0E2820" w:rsidRPr="00AB56FF" w:rsidRDefault="000E2820" w:rsidP="000E2820">
      <w:pPr>
        <w:pStyle w:val="ListParagraph"/>
        <w:spacing w:after="0"/>
        <w:ind w:left="1440"/>
        <w:rPr>
          <w:rFonts w:ascii="Calibri" w:hAnsi="Calibri" w:cs="Calibri"/>
          <w:sz w:val="22"/>
          <w:szCs w:val="22"/>
        </w:rPr>
      </w:pPr>
    </w:p>
    <w:p w:rsidR="00E145B3" w:rsidRPr="00A31D27" w:rsidRDefault="00320B34" w:rsidP="00A31D27"/>
    <w:sectPr w:rsidR="00E145B3" w:rsidRPr="00A31D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B34" w:rsidRDefault="00320B34" w:rsidP="0011111B">
      <w:pPr>
        <w:spacing w:after="0" w:line="240" w:lineRule="auto"/>
      </w:pPr>
      <w:r>
        <w:separator/>
      </w:r>
    </w:p>
  </w:endnote>
  <w:endnote w:type="continuationSeparator" w:id="0">
    <w:p w:rsidR="00320B34" w:rsidRDefault="00320B34" w:rsidP="0011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994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5FF" w:rsidRDefault="00A915FF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11B" w:rsidRDefault="001111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B34" w:rsidRDefault="00320B34" w:rsidP="0011111B">
      <w:pPr>
        <w:spacing w:after="0" w:line="240" w:lineRule="auto"/>
      </w:pPr>
      <w:r>
        <w:separator/>
      </w:r>
    </w:p>
  </w:footnote>
  <w:footnote w:type="continuationSeparator" w:id="0">
    <w:p w:rsidR="00320B34" w:rsidRDefault="00320B34" w:rsidP="0011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267C26" wp14:editId="3F75A2E2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838200" cy="8382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outh San IS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B6905E" wp14:editId="6FCD3D36">
              <wp:simplePos x="0" y="0"/>
              <wp:positionH relativeFrom="margin">
                <wp:align>center</wp:align>
              </wp:positionH>
              <wp:positionV relativeFrom="page">
                <wp:posOffset>363612</wp:posOffset>
              </wp:positionV>
              <wp:extent cx="6477000" cy="981075"/>
              <wp:effectExtent l="0" t="0" r="0" b="9525"/>
              <wp:wrapSquare wrapText="bothSides"/>
              <wp:docPr id="6912" name="Group 6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981075"/>
                        <a:chOff x="0" y="71628"/>
                        <a:chExt cx="6297083" cy="981212"/>
                      </a:xfrm>
                    </wpg:grpSpPr>
                    <wps:wsp>
                      <wps:cNvPr id="6918" name="Rectangle 6918"/>
                      <wps:cNvSpPr/>
                      <wps:spPr>
                        <a:xfrm>
                          <a:off x="484810" y="7162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9" name="Rectangle 6919"/>
                      <wps:cNvSpPr/>
                      <wps:spPr>
                        <a:xfrm>
                          <a:off x="484810" y="2438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0" name="Rectangle 6920"/>
                      <wps:cNvSpPr/>
                      <wps:spPr>
                        <a:xfrm>
                          <a:off x="484810" y="56540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13" name="Picture 69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014345" y="786384"/>
                          <a:ext cx="2936748" cy="144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21" name="Rectangle 6921"/>
                      <wps:cNvSpPr/>
                      <wps:spPr>
                        <a:xfrm>
                          <a:off x="2831609" y="786384"/>
                          <a:ext cx="3465474" cy="2664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1F3864" w:themeColor="accent1" w:themeShade="80"/>
                              </w:rPr>
                            </w:pPr>
                            <w:r w:rsidRPr="002B7E3E">
                              <w:rPr>
                                <w:rFonts w:ascii="Arial" w:eastAsia="Arial" w:hAnsi="Arial" w:cs="Arial"/>
                                <w:b/>
                                <w:color w:val="1F3864" w:themeColor="accent1" w:themeShade="80"/>
                              </w:rPr>
                              <w:t>South San Antonio Independent School District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2" name="Rectangle 6922"/>
                      <wps:cNvSpPr/>
                      <wps:spPr>
                        <a:xfrm>
                          <a:off x="5767959" y="787765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4" name="Shape 6914"/>
                      <wps:cNvSpPr/>
                      <wps:spPr>
                        <a:xfrm>
                          <a:off x="0" y="992505"/>
                          <a:ext cx="6223000" cy="13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00" h="13335">
                              <a:moveTo>
                                <a:pt x="0" y="0"/>
                              </a:moveTo>
                              <a:lnTo>
                                <a:pt x="6223000" y="13335"/>
                              </a:lnTo>
                            </a:path>
                          </a:pathLst>
                        </a:custGeom>
                        <a:ln w="19050" cap="flat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3" name="Shape 6923"/>
                      <wps:cNvSpPr/>
                      <wps:spPr>
                        <a:xfrm>
                          <a:off x="1524000" y="235331"/>
                          <a:ext cx="4337685" cy="402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7685" h="402590">
                              <a:moveTo>
                                <a:pt x="0" y="402590"/>
                              </a:moveTo>
                              <a:lnTo>
                                <a:pt x="4337685" y="402590"/>
                              </a:lnTo>
                              <a:lnTo>
                                <a:pt x="43376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4" name="Rectangle 6924"/>
                      <wps:cNvSpPr/>
                      <wps:spPr>
                        <a:xfrm>
                          <a:off x="2263648" y="334898"/>
                          <a:ext cx="3804014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B7E3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Administrative Regulations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5" name="Rectangle 6925"/>
                      <wps:cNvSpPr/>
                      <wps:spPr>
                        <a:xfrm>
                          <a:off x="5122926" y="334898"/>
                          <a:ext cx="76500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B6905E" id="Group 6912" o:spid="_x0000_s1026" style="position:absolute;margin-left:0;margin-top:28.65pt;width:510pt;height:77.25pt;z-index:251659264;mso-position-horizontal:center;mso-position-horizontal-relative:margin;mso-position-vertical-relative:page;mso-width-relative:margin;mso-height-relative:margin" coordorigin=",716" coordsize="62970,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">
              <v:rect id="Rectangle 6918" o:spid="_x0000_s1027" style="position:absolute;left:4848;top:7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Gdn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ZzOw9zwJjwBufoFAAD//wMAUEsBAi0AFAAGAAgAAAAhANvh9svuAAAAhQEAABMAAAAAAAAAAAAA&#10;AAAAAAAAAFtDb250ZW50X1R5cGVzXS54bWxQSwECLQAUAAYACAAAACEAWvQsW78AAAAVAQAACwAA&#10;AAAAAAAAAAAAAAAfAQAAX3JlbHMvLnJlbHNQSwECLQAUAAYACAAAACEAiPRnZ8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19" o:spid="_x0000_s1028" style="position:absolute;left:4848;top:24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L8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EyT+D2JjwBmf0DAAD//wMAUEsBAi0AFAAGAAgAAAAhANvh9svuAAAAhQEAABMAAAAAAAAA&#10;AAAAAAAAAAAAAFtDb250ZW50X1R5cGVzXS54bWxQSwECLQAUAAYACAAAACEAWvQsW78AAAAVAQAA&#10;CwAAAAAAAAAAAAAAAAAfAQAAX3JlbHMvLnJlbHNQSwECLQAUAAYACAAAACEA57jC/MYAAADdAAAA&#10;DwAAAAAAAAAAAAAAAAAHAgAAZHJzL2Rvd25yZXYueG1sUEsFBgAAAAADAAMAtwAAAPo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20" o:spid="_x0000_s1029" style="position:absolute;left:4848;top:56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qHc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Zwuw/7wJjwBufkHAAD//wMAUEsBAi0AFAAGAAgAAAAhANvh9svuAAAAhQEAABMAAAAAAAAAAAAA&#10;AAAAAAAAAFtDb250ZW50X1R5cGVzXS54bWxQSwECLQAUAAYACAAAACEAWvQsW78AAAAVAQAACwAA&#10;AAAAAAAAAAAAAAAfAQAAX3JlbHMvLnJlbHNQSwECLQAUAAYACAAAACEAuO6h3M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13" o:spid="_x0000_s1030" type="#_x0000_t75" style="position:absolute;left:30143;top:7863;width:29367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">
                <v:imagedata r:id="rId3" o:title=""/>
              </v:shape>
              <v:rect id="Rectangle 6921" o:spid="_x0000_s1031" style="position:absolute;left:28316;top:7863;width:34654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RH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TpfAa/b8ITkMsfAAAA//8DAFBLAQItABQABgAIAAAAIQDb4fbL7gAAAIUBAAATAAAAAAAA&#10;AAAAAAAAAAAAAABbQ29udGVudF9UeXBlc10ueG1sUEsBAi0AFAAGAAgAAAAhAFr0LFu/AAAAFQEA&#10;AAsAAAAAAAAAAAAAAAAAHwEAAF9yZWxzLy5yZWxzUEsBAi0AFAAGAAgAAAAhANeiBEfHAAAA3QAA&#10;AA8AAAAAAAAAAAAAAAAABwIAAGRycy9kb3ducmV2LnhtbFBLBQYAAAAAAwADALcAAAD7AgAAAAA=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1F3864" w:themeColor="accent1" w:themeShade="80"/>
                        </w:rPr>
                      </w:pPr>
                      <w:r w:rsidRPr="002B7E3E">
                        <w:rPr>
                          <w:rFonts w:ascii="Arial" w:eastAsia="Arial" w:hAnsi="Arial" w:cs="Arial"/>
                          <w:b/>
                          <w:color w:val="1F3864" w:themeColor="accent1" w:themeShade="80"/>
                        </w:rPr>
                        <w:t>South San Antonio Independent School District</w:t>
                      </w:r>
                    </w:p>
                  </w:txbxContent>
                </v:textbox>
              </v:rect>
              <v:rect id="Rectangle 6922" o:spid="_x0000_s1032" style="position:absolute;left:57679;top:78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ow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JM4hueb8ATk7AEAAP//AwBQSwECLQAUAAYACAAAACEA2+H2y+4AAACFAQAAEwAAAAAAAAAA&#10;AAAAAAAAAAAAW0NvbnRlbnRfVHlwZXNdLnhtbFBLAQItABQABgAIAAAAIQBa9CxbvwAAABUBAAAL&#10;AAAAAAAAAAAAAAAAAB8BAABfcmVscy8ucmVsc1BLAQItABQABgAIAAAAIQAncJow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6914" o:spid="_x0000_s1033" style="position:absolute;top:9925;width:62230;height:133;visibility:visible;mso-wrap-style:square;v-text-anchor:top" coordsize="622300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" path="m,l6223000,13335e" filled="f" strokecolor="#1f3763 [1604]" strokeweight="1.5pt">
                <v:path arrowok="t" textboxrect="0,0,6223000,13335"/>
              </v:shape>
              <v:shape id="Shape 6923" o:spid="_x0000_s1034" style="position:absolute;left:15240;top:2353;width:43376;height:4026;visibility:visible;mso-wrap-style:square;v-text-anchor:top" coordsize="433768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" path="m,402590r4337685,l4337685,,,,,402590xe" fillcolor="#1f3763 [1604]">
                <v:stroke miterlimit="66585f" joinstyle="miter"/>
                <v:path arrowok="t" textboxrect="0,0,4337685,402590"/>
              </v:shape>
              <v:rect id="Rectangle 6924" o:spid="_x0000_s1035" style="position:absolute;left:22636;top:3348;width:3804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aff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DH1affxQAAAN0AAAAP&#10;AAAAAAAAAAAAAAAAAAcCAABkcnMvZG93bnJldi54bWxQSwUGAAAAAAMAAwC3AAAA+QIAAAAA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FFFFFF" w:themeColor="background1"/>
                        </w:rPr>
                      </w:pPr>
                      <w:r w:rsidRPr="002B7E3E">
                        <w:rPr>
                          <w:b/>
                          <w:color w:val="FFFFFF" w:themeColor="background1"/>
                          <w:sz w:val="40"/>
                        </w:rPr>
                        <w:t>Administrative Regulations</w:t>
                      </w:r>
                    </w:p>
                  </w:txbxContent>
                </v:textbox>
              </v:rect>
              <v:rect id="Rectangle 6925" o:spid="_x0000_s1036" style="position:absolute;left:51229;top:334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JE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ComQJE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  <w:p w:rsidR="0011111B" w:rsidRDefault="00111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211AF"/>
    <w:multiLevelType w:val="hybridMultilevel"/>
    <w:tmpl w:val="593EF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7338B"/>
    <w:multiLevelType w:val="hybridMultilevel"/>
    <w:tmpl w:val="4500A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1B"/>
    <w:rsid w:val="000550BB"/>
    <w:rsid w:val="000E2820"/>
    <w:rsid w:val="0011111B"/>
    <w:rsid w:val="00153553"/>
    <w:rsid w:val="00227177"/>
    <w:rsid w:val="00320B34"/>
    <w:rsid w:val="004C5382"/>
    <w:rsid w:val="006A10E8"/>
    <w:rsid w:val="006E647E"/>
    <w:rsid w:val="007927C3"/>
    <w:rsid w:val="0092395E"/>
    <w:rsid w:val="009E1CDD"/>
    <w:rsid w:val="00A31D27"/>
    <w:rsid w:val="00A915FF"/>
    <w:rsid w:val="00AB16DA"/>
    <w:rsid w:val="00E1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69229"/>
  <w15:chartTrackingRefBased/>
  <w15:docId w15:val="{A31811D8-A097-47DA-ADF6-374AB63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7C3"/>
    <w:pPr>
      <w:spacing w:line="312" w:lineRule="auto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1B"/>
  </w:style>
  <w:style w:type="paragraph" w:styleId="Footer">
    <w:name w:val="footer"/>
    <w:basedOn w:val="Normal"/>
    <w:link w:val="Foot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1B"/>
  </w:style>
  <w:style w:type="paragraph" w:styleId="ListParagraph">
    <w:name w:val="List Paragraph"/>
    <w:basedOn w:val="Normal"/>
    <w:uiPriority w:val="34"/>
    <w:qFormat/>
    <w:rsid w:val="007927C3"/>
    <w:pPr>
      <w:ind w:left="720"/>
      <w:contextualSpacing/>
    </w:pPr>
  </w:style>
  <w:style w:type="table" w:customStyle="1" w:styleId="TableGrid">
    <w:name w:val="TableGrid"/>
    <w:rsid w:val="000E282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Fuery, Sharon G</dc:creator>
  <cp:keywords/>
  <dc:description/>
  <cp:lastModifiedBy>Fuery, Sharon G</cp:lastModifiedBy>
  <cp:revision>4</cp:revision>
  <dcterms:created xsi:type="dcterms:W3CDTF">2023-01-10T15:07:00Z</dcterms:created>
  <dcterms:modified xsi:type="dcterms:W3CDTF">2023-01-10T15:08:00Z</dcterms:modified>
</cp:coreProperties>
</file>