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976B7C" w:rsidTr="002E48A9">
        <w:trPr>
          <w:trHeight w:val="252"/>
        </w:trPr>
        <w:tc>
          <w:tcPr>
            <w:tcW w:w="2713" w:type="dxa"/>
            <w:tcBorders>
              <w:top w:val="single" w:sz="4" w:space="0" w:color="000000"/>
              <w:left w:val="single" w:sz="4" w:space="0" w:color="000000"/>
              <w:bottom w:val="single" w:sz="4" w:space="0" w:color="000000"/>
              <w:right w:val="single" w:sz="4" w:space="0" w:color="000000"/>
            </w:tcBorders>
          </w:tcPr>
          <w:p w:rsidR="00976B7C" w:rsidRPr="002C4503" w:rsidRDefault="003D30F6" w:rsidP="002E48A9">
            <w:pPr>
              <w:spacing w:line="259" w:lineRule="auto"/>
              <w:rPr>
                <w:sz w:val="18"/>
              </w:rPr>
            </w:pPr>
            <w:r>
              <w:rPr>
                <w:sz w:val="18"/>
              </w:rPr>
              <w:t>C</w:t>
            </w:r>
            <w:r w:rsidR="00647B5D">
              <w:rPr>
                <w:sz w:val="18"/>
              </w:rPr>
              <w:t>–</w:t>
            </w:r>
            <w:r w:rsidR="0013705A">
              <w:rPr>
                <w:sz w:val="18"/>
              </w:rPr>
              <w:t xml:space="preserve"> </w:t>
            </w:r>
            <w:r>
              <w:rPr>
                <w:sz w:val="18"/>
              </w:rPr>
              <w:t>Fiscal Management</w:t>
            </w:r>
          </w:p>
        </w:tc>
        <w:tc>
          <w:tcPr>
            <w:tcW w:w="990" w:type="dxa"/>
            <w:tcBorders>
              <w:top w:val="single" w:sz="4" w:space="0" w:color="000000"/>
              <w:left w:val="single" w:sz="4" w:space="0" w:color="000000"/>
              <w:bottom w:val="single" w:sz="4" w:space="0" w:color="000000"/>
              <w:right w:val="single" w:sz="4" w:space="0" w:color="000000"/>
            </w:tcBorders>
          </w:tcPr>
          <w:p w:rsidR="00976B7C" w:rsidRPr="0013705A" w:rsidRDefault="003D30F6" w:rsidP="002E48A9">
            <w:pPr>
              <w:spacing w:line="259" w:lineRule="auto"/>
              <w:rPr>
                <w:b/>
              </w:rPr>
            </w:pPr>
            <w:r>
              <w:rPr>
                <w:b/>
              </w:rPr>
              <w:t>CAA</w:t>
            </w:r>
          </w:p>
        </w:tc>
      </w:tr>
      <w:tr w:rsidR="00976B7C" w:rsidTr="002E48A9">
        <w:trPr>
          <w:trHeight w:val="254"/>
        </w:trPr>
        <w:tc>
          <w:tcPr>
            <w:tcW w:w="271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25321E">
              <w:rPr>
                <w:sz w:val="18"/>
              </w:rPr>
              <w:t>2</w:t>
            </w:r>
          </w:p>
        </w:tc>
        <w:tc>
          <w:tcPr>
            <w:tcW w:w="99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B62B6D">
              <w:rPr>
                <w:sz w:val="20"/>
              </w:rPr>
              <w:t>2023</w:t>
            </w:r>
            <w:bookmarkStart w:id="0" w:name="_GoBack"/>
            <w:bookmarkEnd w:id="0"/>
          </w:p>
        </w:tc>
      </w:tr>
      <w:tr w:rsidR="00976B7C" w:rsidTr="002E48A9">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976B7C" w:rsidRPr="008032BB" w:rsidRDefault="003D30F6" w:rsidP="002E48A9">
            <w:pPr>
              <w:spacing w:line="259" w:lineRule="auto"/>
              <w:rPr>
                <w:sz w:val="18"/>
              </w:rPr>
            </w:pPr>
            <w:r>
              <w:rPr>
                <w:sz w:val="18"/>
              </w:rPr>
              <w:t>Goals and Objective:  Financial Ethics</w:t>
            </w:r>
          </w:p>
        </w:tc>
      </w:tr>
    </w:tbl>
    <w:p w:rsidR="00976B7C" w:rsidRDefault="00976B7C" w:rsidP="00976B7C">
      <w:pPr>
        <w:rPr>
          <w:rFonts w:ascii="Calibri" w:hAnsi="Calibri" w:cs="Calibri"/>
          <w:b/>
          <w:bCs/>
          <w:sz w:val="22"/>
          <w:szCs w:val="22"/>
        </w:rPr>
      </w:pPr>
    </w:p>
    <w:p w:rsidR="002F631A" w:rsidRPr="002F631A" w:rsidRDefault="002F631A" w:rsidP="002F631A">
      <w:pPr>
        <w:spacing w:line="276" w:lineRule="auto"/>
        <w:rPr>
          <w:rFonts w:cstheme="minorHAnsi"/>
          <w:color w:val="212529"/>
          <w:sz w:val="22"/>
          <w:szCs w:val="22"/>
          <w:shd w:val="clear" w:color="auto" w:fill="FFFFFF"/>
        </w:rPr>
      </w:pPr>
      <w:r w:rsidRPr="002F631A">
        <w:rPr>
          <w:rFonts w:cstheme="minorHAnsi"/>
          <w:color w:val="212529"/>
          <w:sz w:val="22"/>
          <w:szCs w:val="22"/>
          <w:shd w:val="clear" w:color="auto" w:fill="FFFFFF"/>
        </w:rPr>
        <w:t>Each employee who supervises or prepares District financial reports or transactions shall set an example of honest and ethical behavior and shall actively monitor his or her area of responsibility for fraud and financial impropriety.</w:t>
      </w:r>
      <w:r>
        <w:rPr>
          <w:rFonts w:ascii="Arial" w:hAnsi="Arial" w:cs="Arial"/>
          <w:color w:val="212529"/>
          <w:shd w:val="clear" w:color="auto" w:fill="FFFFFF"/>
        </w:rPr>
        <w:t xml:space="preserve">  </w:t>
      </w:r>
      <w:r w:rsidRPr="002F631A">
        <w:rPr>
          <w:rFonts w:cstheme="minorHAnsi"/>
          <w:color w:val="212529"/>
          <w:sz w:val="22"/>
          <w:szCs w:val="22"/>
          <w:shd w:val="clear" w:color="auto" w:fill="FFFFFF"/>
        </w:rPr>
        <w:t>South San Antonio ISD prohibits fraud and financial impropriety, as defined below, in the actions of its Trustees, employees, vendors, contractors, agents, consultants, volunteers, and others seeking or maintaining a business relationship with the District.</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Fraud and financial impropriety shall include but not be limited to:</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Forgery or unauthorized alteration of any document or account belonging to the District.</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Forgery or unauthorized alteration of a check, bank draft, or any other financial document.</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Misappropriation of funds, securities, supplies, or other District assets, including employee time.</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Impropriety in the handling of money or reporting of District financial transactions.</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Profiteering as a result of insider knowledge of District information or activities.</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Unauthorized disclosure of confidential or proprietary information to outside parties.</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Unauthorized disclosure of investment activities engaged in or contemplated by the District.</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Accepting or seeking anything of material value from contractors, vendors, or other persons providing services or materials to the District, except as otherwise permitted by law or District policy. [See CB, DBD]</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Inappropriately destroying, removing, or using records, furniture, fixtures, or equipment.</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Failure to provide financial records required by federal, state, or local entities.</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Failure to disclose conflicts of interest as required by law or District policy.</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Any other dishonest act regarding the finances of the District.</w:t>
      </w:r>
    </w:p>
    <w:p w:rsidR="002F631A" w:rsidRPr="002F631A" w:rsidRDefault="002F631A" w:rsidP="002F631A">
      <w:pPr>
        <w:pStyle w:val="list-level1"/>
        <w:numPr>
          <w:ilvl w:val="0"/>
          <w:numId w:val="4"/>
        </w:numPr>
        <w:shd w:val="clear" w:color="auto" w:fill="FFFFFF"/>
        <w:spacing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Failure to comply with requirements imposed by law, the awarding agency, or a pass-through entity for state and federal awards.</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Any person who suspects fraud or financial impropriety in the District shall report the suspicions immediately to a person with authority to investigate the suspicions, including any supervisor, the Superintendent or designee, the Board President, or local law enforcement.</w:t>
      </w:r>
    </w:p>
    <w:p w:rsid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rPr>
        <w:t>Reports of suspected fraud or financial impropriety shall be treated as confidential to the extent permitted by law. Limited disclosure may be necessary to complete a full investigation or to comply with law. All employees involved in an investigation shall be advised to keep information about the investigation confidential.</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shd w:val="clear" w:color="auto" w:fill="FFFFFF"/>
        </w:rPr>
      </w:pPr>
      <w:r w:rsidRPr="002F631A">
        <w:rPr>
          <w:rFonts w:asciiTheme="minorHAnsi" w:hAnsiTheme="minorHAnsi" w:cstheme="minorHAnsi"/>
          <w:color w:val="212529"/>
          <w:sz w:val="22"/>
          <w:szCs w:val="22"/>
          <w:shd w:val="clear" w:color="auto" w:fill="FFFFFF"/>
        </w:rPr>
        <w:lastRenderedPageBreak/>
        <w:t>Neither the Board nor any District employee shall unlawfully retaliate against a person who in good faith reports perceived fraud or financial impropriety. </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b/>
          <w:color w:val="212529"/>
          <w:sz w:val="22"/>
          <w:szCs w:val="22"/>
          <w:shd w:val="clear" w:color="auto" w:fill="FFFFFF"/>
        </w:rPr>
      </w:pPr>
      <w:r w:rsidRPr="002F631A">
        <w:rPr>
          <w:rFonts w:asciiTheme="minorHAnsi" w:hAnsiTheme="minorHAnsi" w:cstheme="minorHAnsi"/>
          <w:b/>
          <w:color w:val="212529"/>
          <w:sz w:val="22"/>
          <w:szCs w:val="22"/>
          <w:shd w:val="clear" w:color="auto" w:fill="FFFFFF"/>
        </w:rPr>
        <w:t>Fraud Investigations</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shd w:val="clear" w:color="auto" w:fill="FFFFFF"/>
        </w:rPr>
      </w:pPr>
      <w:r w:rsidRPr="002F631A">
        <w:rPr>
          <w:rFonts w:asciiTheme="minorHAnsi" w:hAnsiTheme="minorHAnsi" w:cstheme="minorHAnsi"/>
          <w:color w:val="212529"/>
          <w:sz w:val="22"/>
          <w:szCs w:val="22"/>
          <w:shd w:val="clear" w:color="auto" w:fill="FFFFFF"/>
        </w:rPr>
        <w:t>In coordination with legal counsel and other internal or external departments or agencies, as appropriate, the Superintendent, Board President, or a designee shall promptly investigate reports of potential fraud or financial impropriety.</w:t>
      </w:r>
    </w:p>
    <w:p w:rsidR="002F631A" w:rsidRPr="002F631A" w:rsidRDefault="002F631A" w:rsidP="002F631A">
      <w:pPr>
        <w:pStyle w:val="local-1"/>
        <w:shd w:val="clear" w:color="auto" w:fill="FFFFFF"/>
        <w:spacing w:before="0" w:beforeAutospacing="0" w:after="240" w:afterAutospacing="0" w:line="252" w:lineRule="atLeast"/>
        <w:rPr>
          <w:rFonts w:asciiTheme="minorHAnsi" w:hAnsiTheme="minorHAnsi" w:cstheme="minorHAnsi"/>
          <w:color w:val="212529"/>
          <w:sz w:val="22"/>
          <w:szCs w:val="22"/>
        </w:rPr>
      </w:pPr>
      <w:r w:rsidRPr="002F631A">
        <w:rPr>
          <w:rFonts w:asciiTheme="minorHAnsi" w:hAnsiTheme="minorHAnsi" w:cstheme="minorHAnsi"/>
          <w:color w:val="212529"/>
          <w:sz w:val="22"/>
          <w:szCs w:val="22"/>
        </w:rPr>
        <w:t>If an employee is found to have committed fraud or financial impropriety, the Superintendent or designee shall take or recommend appropriate disciplinary action, which may include termination of employment. If a contractor or vendor is found to have committed fraud or financial impropriety, the District shall take appropriate action, which may include cancellation of the District's relationship with the contractor or vendor.</w:t>
      </w:r>
    </w:p>
    <w:p w:rsidR="002F631A" w:rsidRPr="002F631A" w:rsidRDefault="002F631A" w:rsidP="002F631A">
      <w:pPr>
        <w:pStyle w:val="local-1"/>
        <w:shd w:val="clear" w:color="auto" w:fill="FFFFFF"/>
        <w:spacing w:before="0" w:beforeAutospacing="0" w:after="240" w:afterAutospacing="0" w:line="252" w:lineRule="atLeast"/>
        <w:rPr>
          <w:rFonts w:asciiTheme="minorHAnsi" w:hAnsiTheme="minorHAnsi" w:cstheme="minorHAnsi"/>
          <w:color w:val="212529"/>
          <w:sz w:val="22"/>
          <w:szCs w:val="22"/>
        </w:rPr>
      </w:pPr>
      <w:r w:rsidRPr="002F631A">
        <w:rPr>
          <w:rFonts w:asciiTheme="minorHAnsi" w:hAnsiTheme="minorHAnsi" w:cstheme="minorHAnsi"/>
          <w:color w:val="212529"/>
          <w:sz w:val="22"/>
          <w:szCs w:val="22"/>
        </w:rPr>
        <w:t>When circumstances warrant, the Board, Superintendent, or designee may refer matters to appropriate law enforcement or regulatory authorities. In cases involving monetary loss to the District, the District may seek to recover lost or misappropriated funds.</w:t>
      </w:r>
    </w:p>
    <w:p w:rsidR="002F631A" w:rsidRPr="002F631A" w:rsidRDefault="002F631A" w:rsidP="002F631A">
      <w:pPr>
        <w:pStyle w:val="local-1"/>
        <w:shd w:val="clear" w:color="auto" w:fill="FFFFFF"/>
        <w:spacing w:before="0" w:beforeAutospacing="0" w:after="240" w:afterAutospacing="0" w:line="252" w:lineRule="atLeast"/>
        <w:rPr>
          <w:rFonts w:asciiTheme="minorHAnsi" w:hAnsiTheme="minorHAnsi" w:cstheme="minorHAnsi"/>
          <w:color w:val="212529"/>
          <w:sz w:val="22"/>
          <w:szCs w:val="22"/>
        </w:rPr>
      </w:pPr>
      <w:r w:rsidRPr="002F631A">
        <w:rPr>
          <w:rFonts w:asciiTheme="minorHAnsi" w:hAnsiTheme="minorHAnsi" w:cstheme="minorHAnsi"/>
          <w:color w:val="212529"/>
          <w:sz w:val="22"/>
          <w:szCs w:val="22"/>
        </w:rPr>
        <w:t>The final disposition of the matter and any decision to file a criminal complaint or to refer the matter to the appropriate law enforcement or regulatory agency for independent investigation shall be made in consultation with legal counsel.</w:t>
      </w:r>
    </w:p>
    <w:p w:rsidR="002F631A" w:rsidRPr="002F631A" w:rsidRDefault="002F631A" w:rsidP="002F631A">
      <w:pPr>
        <w:pStyle w:val="local-1"/>
        <w:shd w:val="clear" w:color="auto" w:fill="FFFFFF"/>
        <w:spacing w:before="0" w:beforeAutospacing="0" w:after="240" w:afterAutospacing="0" w:line="276" w:lineRule="auto"/>
        <w:rPr>
          <w:rFonts w:asciiTheme="minorHAnsi" w:hAnsiTheme="minorHAnsi" w:cstheme="minorHAnsi"/>
          <w:color w:val="212529"/>
          <w:sz w:val="22"/>
          <w:szCs w:val="22"/>
        </w:rPr>
      </w:pPr>
      <w:r w:rsidRPr="002F631A">
        <w:rPr>
          <w:rFonts w:asciiTheme="minorHAnsi" w:hAnsiTheme="minorHAnsi" w:cstheme="minorHAnsi"/>
          <w:color w:val="212529"/>
          <w:sz w:val="22"/>
          <w:szCs w:val="22"/>
          <w:shd w:val="clear" w:color="auto" w:fill="FFFFFF"/>
        </w:rPr>
        <w:t>The District shall disclose, in a timely manner in writing to the federal awarding agency or pass-through entity, all violations of federal criminal law involving fraud, bribery, or gratuity violations potentially affecting a federal grant award.</w:t>
      </w:r>
    </w:p>
    <w:p w:rsidR="002F631A" w:rsidRPr="002F631A" w:rsidRDefault="002F631A" w:rsidP="00976B7C">
      <w:pPr>
        <w:rPr>
          <w:rFonts w:cstheme="minorHAnsi"/>
          <w:b/>
          <w:bCs/>
          <w:sz w:val="22"/>
          <w:szCs w:val="22"/>
        </w:rPr>
      </w:pPr>
    </w:p>
    <w:sectPr w:rsidR="002F631A" w:rsidRPr="002F631A"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010" w:rsidRDefault="003D7010" w:rsidP="0011111B">
      <w:pPr>
        <w:spacing w:after="0" w:line="240" w:lineRule="auto"/>
      </w:pPr>
      <w:r>
        <w:separator/>
      </w:r>
    </w:p>
  </w:endnote>
  <w:endnote w:type="continuationSeparator" w:id="0">
    <w:p w:rsidR="003D7010" w:rsidRDefault="003D7010"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010" w:rsidRDefault="003D7010" w:rsidP="0011111B">
      <w:pPr>
        <w:spacing w:after="0" w:line="240" w:lineRule="auto"/>
      </w:pPr>
      <w:r>
        <w:separator/>
      </w:r>
    </w:p>
  </w:footnote>
  <w:footnote w:type="continuationSeparator" w:id="0">
    <w:p w:rsidR="003D7010" w:rsidRDefault="003D7010"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377F2"/>
    <w:multiLevelType w:val="multilevel"/>
    <w:tmpl w:val="9DBE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D23F0"/>
    <w:rsid w:val="0011111B"/>
    <w:rsid w:val="0013705A"/>
    <w:rsid w:val="00145C00"/>
    <w:rsid w:val="00153553"/>
    <w:rsid w:val="00227177"/>
    <w:rsid w:val="0025321E"/>
    <w:rsid w:val="00263EEA"/>
    <w:rsid w:val="002874B0"/>
    <w:rsid w:val="002F631A"/>
    <w:rsid w:val="00316F37"/>
    <w:rsid w:val="003417BE"/>
    <w:rsid w:val="003D30F6"/>
    <w:rsid w:val="003D7010"/>
    <w:rsid w:val="004C5382"/>
    <w:rsid w:val="005F3BF4"/>
    <w:rsid w:val="00647B5D"/>
    <w:rsid w:val="0067079D"/>
    <w:rsid w:val="006A10E8"/>
    <w:rsid w:val="006B5A2B"/>
    <w:rsid w:val="006D3C9C"/>
    <w:rsid w:val="006E647E"/>
    <w:rsid w:val="00724F42"/>
    <w:rsid w:val="00730FF9"/>
    <w:rsid w:val="007927C3"/>
    <w:rsid w:val="00976B7C"/>
    <w:rsid w:val="009B02CD"/>
    <w:rsid w:val="00A31D27"/>
    <w:rsid w:val="00A478E1"/>
    <w:rsid w:val="00A915FF"/>
    <w:rsid w:val="00AB16DA"/>
    <w:rsid w:val="00B62B6D"/>
    <w:rsid w:val="00BF3E3B"/>
    <w:rsid w:val="00D82ACD"/>
    <w:rsid w:val="00D91EEC"/>
    <w:rsid w:val="00D931E3"/>
    <w:rsid w:val="00E139D2"/>
    <w:rsid w:val="00E607FA"/>
    <w:rsid w:val="00EB409E"/>
    <w:rsid w:val="00EF6A5B"/>
    <w:rsid w:val="00F3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3068"/>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254">
      <w:bodyDiv w:val="1"/>
      <w:marLeft w:val="0"/>
      <w:marRight w:val="0"/>
      <w:marTop w:val="0"/>
      <w:marBottom w:val="0"/>
      <w:divBdr>
        <w:top w:val="none" w:sz="0" w:space="0" w:color="auto"/>
        <w:left w:val="none" w:sz="0" w:space="0" w:color="auto"/>
        <w:bottom w:val="none" w:sz="0" w:space="0" w:color="auto"/>
        <w:right w:val="none" w:sz="0" w:space="0" w:color="auto"/>
      </w:divBdr>
    </w:div>
    <w:div w:id="238758423">
      <w:bodyDiv w:val="1"/>
      <w:marLeft w:val="0"/>
      <w:marRight w:val="0"/>
      <w:marTop w:val="0"/>
      <w:marBottom w:val="0"/>
      <w:divBdr>
        <w:top w:val="none" w:sz="0" w:space="0" w:color="auto"/>
        <w:left w:val="none" w:sz="0" w:space="0" w:color="auto"/>
        <w:bottom w:val="none" w:sz="0" w:space="0" w:color="auto"/>
        <w:right w:val="none" w:sz="0" w:space="0" w:color="auto"/>
      </w:divBdr>
    </w:div>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 w:id="15139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4</cp:revision>
  <cp:lastPrinted>2023-03-20T16:51:00Z</cp:lastPrinted>
  <dcterms:created xsi:type="dcterms:W3CDTF">2023-03-20T16:44:00Z</dcterms:created>
  <dcterms:modified xsi:type="dcterms:W3CDTF">2023-06-05T13:47:00Z</dcterms:modified>
</cp:coreProperties>
</file>