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8141" w14:textId="77777777" w:rsidR="00040C77" w:rsidRPr="00536F39" w:rsidRDefault="000821E5" w:rsidP="00682406">
      <w:pPr>
        <w:pStyle w:val="c3"/>
        <w:tabs>
          <w:tab w:val="left" w:pos="5140"/>
        </w:tabs>
        <w:spacing w:line="240" w:lineRule="auto"/>
        <w:jc w:val="left"/>
        <w:rPr>
          <w:sz w:val="20"/>
          <w:szCs w:val="20"/>
          <w:u w:val="single"/>
        </w:rPr>
      </w:pPr>
      <w:r>
        <w:t xml:space="preserve"> </w:t>
      </w:r>
      <w:r w:rsidR="00682406" w:rsidRPr="00682406">
        <w:rPr>
          <w:szCs w:val="20"/>
        </w:rPr>
        <w:t>3181 Head Start Cost Allocation Plan</w:t>
      </w:r>
    </w:p>
    <w:p w14:paraId="075E92BA" w14:textId="77777777" w:rsidR="00040C77" w:rsidRDefault="00040C77" w:rsidP="00040C77">
      <w:pPr>
        <w:pStyle w:val="c3"/>
        <w:tabs>
          <w:tab w:val="left" w:pos="5140"/>
        </w:tabs>
        <w:spacing w:line="240" w:lineRule="auto"/>
        <w:rPr>
          <w:sz w:val="20"/>
          <w:szCs w:val="20"/>
          <w:u w:val="single"/>
        </w:rPr>
      </w:pPr>
    </w:p>
    <w:p w14:paraId="522FA390" w14:textId="77777777" w:rsidR="00040C77" w:rsidRDefault="00040C77" w:rsidP="00040C77">
      <w:pPr>
        <w:pStyle w:val="c3"/>
        <w:tabs>
          <w:tab w:val="left" w:pos="5140"/>
        </w:tabs>
        <w:spacing w:line="240" w:lineRule="auto"/>
        <w:rPr>
          <w:sz w:val="20"/>
          <w:szCs w:val="20"/>
          <w:u w:val="single"/>
        </w:rPr>
      </w:pPr>
    </w:p>
    <w:p w14:paraId="08A2BBC9" w14:textId="77777777" w:rsidR="00040C77" w:rsidRDefault="00040C77" w:rsidP="00040C77">
      <w:pPr>
        <w:pStyle w:val="c3"/>
        <w:tabs>
          <w:tab w:val="left" w:pos="5140"/>
        </w:tabs>
        <w:spacing w:line="240" w:lineRule="auto"/>
        <w:rPr>
          <w:sz w:val="20"/>
          <w:szCs w:val="20"/>
          <w:u w:val="single"/>
        </w:rPr>
      </w:pPr>
    </w:p>
    <w:p w14:paraId="660AB3C8" w14:textId="77777777" w:rsidR="00040C77" w:rsidRDefault="00040C77" w:rsidP="00040C77">
      <w:pPr>
        <w:pStyle w:val="c3"/>
        <w:tabs>
          <w:tab w:val="left" w:pos="5140"/>
        </w:tabs>
        <w:spacing w:line="240" w:lineRule="auto"/>
        <w:rPr>
          <w:sz w:val="20"/>
          <w:szCs w:val="20"/>
          <w:u w:val="single"/>
        </w:rPr>
      </w:pPr>
    </w:p>
    <w:p w14:paraId="439FEE7A" w14:textId="77777777" w:rsidR="00040C77" w:rsidRDefault="00040C77" w:rsidP="00040C77">
      <w:pPr>
        <w:pStyle w:val="c3"/>
        <w:tabs>
          <w:tab w:val="left" w:pos="5140"/>
        </w:tabs>
        <w:spacing w:line="240" w:lineRule="auto"/>
        <w:rPr>
          <w:sz w:val="20"/>
          <w:szCs w:val="20"/>
          <w:u w:val="single"/>
        </w:rPr>
      </w:pPr>
    </w:p>
    <w:p w14:paraId="698C8A98" w14:textId="77777777" w:rsidR="00040C77" w:rsidRDefault="00040C77" w:rsidP="00040C77">
      <w:pPr>
        <w:pStyle w:val="c3"/>
        <w:tabs>
          <w:tab w:val="left" w:pos="5140"/>
        </w:tabs>
        <w:spacing w:line="240" w:lineRule="auto"/>
        <w:rPr>
          <w:sz w:val="20"/>
          <w:szCs w:val="20"/>
          <w:u w:val="single"/>
        </w:rPr>
      </w:pPr>
    </w:p>
    <w:p w14:paraId="4FADE5F9" w14:textId="77777777" w:rsidR="00040C77" w:rsidRDefault="00040C77" w:rsidP="00040C77">
      <w:pPr>
        <w:pStyle w:val="c3"/>
        <w:tabs>
          <w:tab w:val="left" w:pos="5140"/>
        </w:tabs>
        <w:spacing w:line="240" w:lineRule="auto"/>
        <w:rPr>
          <w:sz w:val="20"/>
          <w:szCs w:val="20"/>
          <w:u w:val="single"/>
        </w:rPr>
      </w:pPr>
    </w:p>
    <w:p w14:paraId="5D5C6BDB" w14:textId="77777777" w:rsidR="00040C77" w:rsidRDefault="00040C77" w:rsidP="00040C77">
      <w:pPr>
        <w:pStyle w:val="c3"/>
        <w:tabs>
          <w:tab w:val="left" w:pos="5140"/>
        </w:tabs>
        <w:spacing w:line="240" w:lineRule="auto"/>
        <w:rPr>
          <w:sz w:val="20"/>
          <w:szCs w:val="20"/>
          <w:u w:val="single"/>
        </w:rPr>
      </w:pPr>
    </w:p>
    <w:p w14:paraId="3DA287B3" w14:textId="77777777" w:rsidR="00040C77" w:rsidRDefault="00040C77" w:rsidP="00040C77">
      <w:pPr>
        <w:pStyle w:val="c3"/>
        <w:tabs>
          <w:tab w:val="left" w:pos="5140"/>
        </w:tabs>
        <w:spacing w:line="240" w:lineRule="auto"/>
        <w:rPr>
          <w:sz w:val="20"/>
          <w:szCs w:val="20"/>
          <w:u w:val="single"/>
        </w:rPr>
      </w:pPr>
    </w:p>
    <w:p w14:paraId="1F3CC162" w14:textId="77777777" w:rsidR="00040C77" w:rsidRDefault="00040C77" w:rsidP="00040C77">
      <w:pPr>
        <w:pStyle w:val="c3"/>
        <w:tabs>
          <w:tab w:val="left" w:pos="5140"/>
        </w:tabs>
        <w:spacing w:line="240" w:lineRule="auto"/>
        <w:rPr>
          <w:sz w:val="20"/>
          <w:szCs w:val="20"/>
          <w:u w:val="single"/>
        </w:rPr>
      </w:pPr>
    </w:p>
    <w:p w14:paraId="78D3A0E5" w14:textId="77777777" w:rsidR="00040C77" w:rsidRDefault="00040C77" w:rsidP="00040C77">
      <w:pPr>
        <w:pStyle w:val="c3"/>
        <w:tabs>
          <w:tab w:val="left" w:pos="5140"/>
        </w:tabs>
        <w:spacing w:line="240" w:lineRule="auto"/>
        <w:rPr>
          <w:sz w:val="20"/>
          <w:szCs w:val="20"/>
          <w:u w:val="single"/>
        </w:rPr>
      </w:pPr>
    </w:p>
    <w:p w14:paraId="69D0584A" w14:textId="77777777" w:rsidR="00040C77" w:rsidRDefault="00040C77" w:rsidP="00040C77">
      <w:pPr>
        <w:pStyle w:val="c3"/>
        <w:tabs>
          <w:tab w:val="left" w:pos="5140"/>
        </w:tabs>
        <w:spacing w:line="240" w:lineRule="auto"/>
        <w:rPr>
          <w:sz w:val="20"/>
          <w:szCs w:val="20"/>
          <w:u w:val="single"/>
        </w:rPr>
      </w:pPr>
    </w:p>
    <w:p w14:paraId="78D80CAF" w14:textId="77777777" w:rsidR="00040C77" w:rsidRDefault="00040C77" w:rsidP="00040C77">
      <w:pPr>
        <w:pStyle w:val="c3"/>
        <w:tabs>
          <w:tab w:val="left" w:pos="5140"/>
        </w:tabs>
        <w:spacing w:line="240" w:lineRule="auto"/>
        <w:rPr>
          <w:sz w:val="20"/>
          <w:szCs w:val="20"/>
          <w:u w:val="single"/>
        </w:rPr>
      </w:pPr>
    </w:p>
    <w:p w14:paraId="136B94CE" w14:textId="77777777" w:rsidR="00040C77" w:rsidRDefault="00040C77" w:rsidP="00040C77">
      <w:pPr>
        <w:pStyle w:val="c3"/>
        <w:tabs>
          <w:tab w:val="left" w:pos="5140"/>
        </w:tabs>
        <w:spacing w:line="240" w:lineRule="auto"/>
        <w:rPr>
          <w:sz w:val="20"/>
          <w:szCs w:val="20"/>
          <w:u w:val="single"/>
        </w:rPr>
      </w:pPr>
    </w:p>
    <w:p w14:paraId="213866CC" w14:textId="77777777" w:rsidR="00040C77" w:rsidRDefault="00040C77" w:rsidP="00040C77">
      <w:pPr>
        <w:pStyle w:val="c3"/>
        <w:tabs>
          <w:tab w:val="left" w:pos="5140"/>
        </w:tabs>
        <w:spacing w:line="240" w:lineRule="auto"/>
        <w:rPr>
          <w:sz w:val="20"/>
          <w:szCs w:val="20"/>
          <w:u w:val="single"/>
        </w:rPr>
      </w:pPr>
    </w:p>
    <w:p w14:paraId="0BCC7049" w14:textId="77777777" w:rsidR="00040C77" w:rsidRDefault="00040C77" w:rsidP="00040C77">
      <w:pPr>
        <w:pStyle w:val="c3"/>
        <w:tabs>
          <w:tab w:val="left" w:pos="5140"/>
        </w:tabs>
        <w:spacing w:line="240" w:lineRule="auto"/>
        <w:rPr>
          <w:sz w:val="20"/>
          <w:szCs w:val="20"/>
          <w:u w:val="single"/>
        </w:rPr>
      </w:pPr>
    </w:p>
    <w:p w14:paraId="3CFC61A2" w14:textId="77777777" w:rsidR="00040C77" w:rsidRDefault="00040C77" w:rsidP="00040C77">
      <w:pPr>
        <w:pStyle w:val="c3"/>
        <w:tabs>
          <w:tab w:val="left" w:pos="5140"/>
        </w:tabs>
        <w:spacing w:line="240" w:lineRule="auto"/>
        <w:rPr>
          <w:sz w:val="20"/>
          <w:szCs w:val="20"/>
          <w:u w:val="single"/>
        </w:rPr>
      </w:pPr>
    </w:p>
    <w:p w14:paraId="393A57C6" w14:textId="77777777" w:rsidR="00040C77" w:rsidRDefault="00040C77" w:rsidP="00040C77">
      <w:pPr>
        <w:pStyle w:val="c3"/>
        <w:tabs>
          <w:tab w:val="left" w:pos="5140"/>
        </w:tabs>
        <w:spacing w:line="240" w:lineRule="auto"/>
        <w:rPr>
          <w:sz w:val="20"/>
          <w:szCs w:val="20"/>
          <w:u w:val="single"/>
        </w:rPr>
      </w:pPr>
    </w:p>
    <w:p w14:paraId="0E460B31" w14:textId="77777777" w:rsidR="00040C77" w:rsidRDefault="00040C77" w:rsidP="00040C77">
      <w:pPr>
        <w:pStyle w:val="c3"/>
        <w:tabs>
          <w:tab w:val="left" w:pos="5140"/>
        </w:tabs>
        <w:spacing w:line="240" w:lineRule="auto"/>
        <w:rPr>
          <w:sz w:val="20"/>
          <w:szCs w:val="20"/>
          <w:u w:val="single"/>
        </w:rPr>
      </w:pPr>
    </w:p>
    <w:p w14:paraId="30281C7C" w14:textId="77777777" w:rsidR="00040C77" w:rsidRDefault="00040C77" w:rsidP="00040C77">
      <w:pPr>
        <w:pStyle w:val="c3"/>
        <w:tabs>
          <w:tab w:val="left" w:pos="5140"/>
        </w:tabs>
        <w:spacing w:line="240" w:lineRule="auto"/>
        <w:rPr>
          <w:sz w:val="32"/>
          <w:szCs w:val="32"/>
        </w:rPr>
      </w:pPr>
      <w:r w:rsidRPr="00040C77">
        <w:rPr>
          <w:sz w:val="32"/>
          <w:szCs w:val="32"/>
        </w:rPr>
        <w:t>Plattsmouth Community Schools</w:t>
      </w:r>
    </w:p>
    <w:p w14:paraId="0DD9980B" w14:textId="77777777" w:rsidR="00040C77" w:rsidRDefault="00040C77" w:rsidP="00040C77">
      <w:pPr>
        <w:pStyle w:val="c3"/>
        <w:tabs>
          <w:tab w:val="left" w:pos="5140"/>
        </w:tabs>
        <w:spacing w:line="240" w:lineRule="auto"/>
        <w:rPr>
          <w:sz w:val="32"/>
          <w:szCs w:val="32"/>
        </w:rPr>
      </w:pPr>
    </w:p>
    <w:p w14:paraId="6FAA8D0C" w14:textId="77777777" w:rsidR="00040C77" w:rsidRPr="00797BDE" w:rsidRDefault="00682406" w:rsidP="00040C77">
      <w:pPr>
        <w:pStyle w:val="c3"/>
        <w:tabs>
          <w:tab w:val="left" w:pos="5140"/>
        </w:tabs>
        <w:spacing w:line="240" w:lineRule="auto"/>
        <w:rPr>
          <w:b/>
          <w:sz w:val="32"/>
          <w:szCs w:val="32"/>
        </w:rPr>
      </w:pPr>
      <w:r>
        <w:rPr>
          <w:b/>
          <w:sz w:val="32"/>
          <w:szCs w:val="32"/>
        </w:rPr>
        <w:t>HEAD START C</w:t>
      </w:r>
      <w:r w:rsidR="00040C77" w:rsidRPr="00797BDE">
        <w:rPr>
          <w:b/>
          <w:sz w:val="32"/>
          <w:szCs w:val="32"/>
        </w:rPr>
        <w:t>OST ALLOCATION PLAN</w:t>
      </w:r>
    </w:p>
    <w:p w14:paraId="7CF20841" w14:textId="77777777" w:rsidR="00040C77" w:rsidRDefault="00040C77" w:rsidP="00040C77">
      <w:pPr>
        <w:pStyle w:val="c3"/>
        <w:tabs>
          <w:tab w:val="left" w:pos="5140"/>
        </w:tabs>
        <w:spacing w:line="240" w:lineRule="auto"/>
        <w:rPr>
          <w:sz w:val="32"/>
          <w:szCs w:val="32"/>
        </w:rPr>
      </w:pPr>
    </w:p>
    <w:p w14:paraId="6C33B267" w14:textId="77777777" w:rsidR="00040C77" w:rsidRDefault="00040C77" w:rsidP="00040C77">
      <w:pPr>
        <w:pStyle w:val="c3"/>
        <w:tabs>
          <w:tab w:val="left" w:pos="5140"/>
        </w:tabs>
        <w:spacing w:line="240" w:lineRule="auto"/>
        <w:jc w:val="left"/>
        <w:rPr>
          <w:sz w:val="32"/>
          <w:szCs w:val="32"/>
        </w:rPr>
      </w:pPr>
    </w:p>
    <w:p w14:paraId="164FFEF3" w14:textId="77777777" w:rsidR="00040C77" w:rsidRDefault="00040C77" w:rsidP="00040C77">
      <w:pPr>
        <w:pStyle w:val="c3"/>
        <w:tabs>
          <w:tab w:val="left" w:pos="5140"/>
        </w:tabs>
        <w:spacing w:line="240" w:lineRule="auto"/>
        <w:rPr>
          <w:sz w:val="28"/>
          <w:szCs w:val="28"/>
          <w:u w:val="single"/>
        </w:rPr>
      </w:pPr>
    </w:p>
    <w:p w14:paraId="15F4688D" w14:textId="77777777" w:rsidR="00040C77" w:rsidRDefault="00040C77" w:rsidP="00040C77">
      <w:pPr>
        <w:pStyle w:val="c3"/>
        <w:tabs>
          <w:tab w:val="left" w:pos="5140"/>
        </w:tabs>
        <w:spacing w:line="240" w:lineRule="auto"/>
        <w:rPr>
          <w:sz w:val="20"/>
          <w:szCs w:val="20"/>
          <w:u w:val="single"/>
        </w:rPr>
      </w:pPr>
    </w:p>
    <w:p w14:paraId="5C5BAC82" w14:textId="77777777" w:rsidR="00040C77" w:rsidRDefault="00040C77" w:rsidP="00040C77">
      <w:pPr>
        <w:pStyle w:val="c3"/>
        <w:tabs>
          <w:tab w:val="left" w:pos="5140"/>
        </w:tabs>
        <w:spacing w:line="240" w:lineRule="auto"/>
        <w:rPr>
          <w:sz w:val="20"/>
          <w:szCs w:val="20"/>
          <w:u w:val="single"/>
        </w:rPr>
      </w:pPr>
    </w:p>
    <w:p w14:paraId="43F5D569" w14:textId="77777777" w:rsidR="00040C77" w:rsidRDefault="00040C77" w:rsidP="00040C77">
      <w:pPr>
        <w:pStyle w:val="c3"/>
        <w:tabs>
          <w:tab w:val="left" w:pos="5140"/>
        </w:tabs>
        <w:spacing w:line="240" w:lineRule="auto"/>
        <w:rPr>
          <w:sz w:val="20"/>
          <w:szCs w:val="20"/>
          <w:u w:val="single"/>
        </w:rPr>
      </w:pPr>
    </w:p>
    <w:p w14:paraId="49090359" w14:textId="77777777" w:rsidR="00040C77" w:rsidRDefault="00040C77" w:rsidP="00040C77">
      <w:pPr>
        <w:pStyle w:val="c3"/>
        <w:tabs>
          <w:tab w:val="left" w:pos="5140"/>
        </w:tabs>
        <w:spacing w:line="240" w:lineRule="auto"/>
        <w:rPr>
          <w:sz w:val="20"/>
          <w:szCs w:val="20"/>
          <w:u w:val="single"/>
        </w:rPr>
      </w:pPr>
    </w:p>
    <w:p w14:paraId="79D23DE0" w14:textId="77777777" w:rsidR="00040C77" w:rsidRPr="0016167A" w:rsidRDefault="00040C77" w:rsidP="00040C77">
      <w:pPr>
        <w:pStyle w:val="c3"/>
        <w:tabs>
          <w:tab w:val="left" w:pos="5140"/>
        </w:tabs>
        <w:spacing w:line="240" w:lineRule="auto"/>
        <w:rPr>
          <w:u w:val="single"/>
        </w:rPr>
      </w:pPr>
    </w:p>
    <w:p w14:paraId="119CC4B2" w14:textId="77777777" w:rsidR="00040C77" w:rsidRPr="0016167A" w:rsidRDefault="00040C77" w:rsidP="00040C77">
      <w:pPr>
        <w:pStyle w:val="c3"/>
        <w:tabs>
          <w:tab w:val="left" w:pos="5140"/>
        </w:tabs>
        <w:spacing w:line="240" w:lineRule="auto"/>
        <w:rPr>
          <w:u w:val="single"/>
        </w:rPr>
      </w:pPr>
    </w:p>
    <w:p w14:paraId="4632A021" w14:textId="77777777" w:rsidR="00040C77" w:rsidRPr="0016167A" w:rsidRDefault="00040C77" w:rsidP="00040C77">
      <w:pPr>
        <w:pStyle w:val="c3"/>
        <w:tabs>
          <w:tab w:val="left" w:pos="5140"/>
        </w:tabs>
        <w:spacing w:line="240" w:lineRule="auto"/>
        <w:rPr>
          <w:u w:val="single"/>
        </w:rPr>
      </w:pPr>
    </w:p>
    <w:p w14:paraId="1F35E60F" w14:textId="77777777" w:rsidR="00040C77" w:rsidRPr="0016167A" w:rsidRDefault="00040C77" w:rsidP="00040C77">
      <w:pPr>
        <w:pStyle w:val="c3"/>
        <w:tabs>
          <w:tab w:val="left" w:pos="5140"/>
        </w:tabs>
        <w:spacing w:line="240" w:lineRule="auto"/>
        <w:rPr>
          <w:u w:val="single"/>
        </w:rPr>
      </w:pPr>
    </w:p>
    <w:p w14:paraId="71C79FA5" w14:textId="77777777" w:rsidR="00040C77" w:rsidRPr="0016167A" w:rsidRDefault="00040C77" w:rsidP="00040C77">
      <w:pPr>
        <w:pStyle w:val="c3"/>
        <w:tabs>
          <w:tab w:val="left" w:pos="5140"/>
        </w:tabs>
        <w:spacing w:line="240" w:lineRule="auto"/>
        <w:rPr>
          <w:u w:val="single"/>
        </w:rPr>
      </w:pPr>
    </w:p>
    <w:p w14:paraId="124460C0" w14:textId="77777777" w:rsidR="00040C77" w:rsidRPr="0016167A" w:rsidRDefault="00040C77" w:rsidP="00040C77">
      <w:pPr>
        <w:pStyle w:val="c3"/>
        <w:tabs>
          <w:tab w:val="left" w:pos="5140"/>
        </w:tabs>
        <w:spacing w:line="240" w:lineRule="auto"/>
        <w:rPr>
          <w:u w:val="single"/>
        </w:rPr>
      </w:pPr>
    </w:p>
    <w:p w14:paraId="64405720" w14:textId="77777777" w:rsidR="00040C77" w:rsidRPr="0016167A" w:rsidRDefault="00040C77" w:rsidP="00040C77">
      <w:pPr>
        <w:pStyle w:val="c3"/>
        <w:tabs>
          <w:tab w:val="left" w:pos="5140"/>
        </w:tabs>
        <w:spacing w:line="240" w:lineRule="auto"/>
        <w:rPr>
          <w:u w:val="single"/>
        </w:rPr>
      </w:pPr>
    </w:p>
    <w:p w14:paraId="135B5B5E" w14:textId="77777777" w:rsidR="00040C77" w:rsidRPr="0016167A" w:rsidRDefault="00040C77" w:rsidP="00040C77">
      <w:pPr>
        <w:pStyle w:val="c3"/>
        <w:tabs>
          <w:tab w:val="left" w:pos="5140"/>
        </w:tabs>
        <w:spacing w:line="240" w:lineRule="auto"/>
        <w:rPr>
          <w:u w:val="single"/>
        </w:rPr>
      </w:pPr>
    </w:p>
    <w:p w14:paraId="32CCD87A" w14:textId="77777777" w:rsidR="00040C77" w:rsidRPr="0016167A" w:rsidRDefault="00040C77" w:rsidP="00040C77">
      <w:pPr>
        <w:pStyle w:val="c3"/>
        <w:tabs>
          <w:tab w:val="left" w:pos="5140"/>
        </w:tabs>
        <w:spacing w:line="240" w:lineRule="auto"/>
        <w:rPr>
          <w:u w:val="single"/>
        </w:rPr>
      </w:pPr>
    </w:p>
    <w:p w14:paraId="7799840D" w14:textId="77777777" w:rsidR="00040C77" w:rsidRPr="0016167A" w:rsidRDefault="00040C77" w:rsidP="00040C77">
      <w:pPr>
        <w:pStyle w:val="c3"/>
        <w:tabs>
          <w:tab w:val="left" w:pos="5140"/>
        </w:tabs>
        <w:spacing w:line="240" w:lineRule="auto"/>
        <w:rPr>
          <w:u w:val="single"/>
        </w:rPr>
      </w:pPr>
    </w:p>
    <w:p w14:paraId="576BEEB7" w14:textId="77777777" w:rsidR="00040C77" w:rsidRPr="0016167A" w:rsidRDefault="00040C77" w:rsidP="00040C77">
      <w:pPr>
        <w:pStyle w:val="c3"/>
        <w:tabs>
          <w:tab w:val="left" w:pos="5140"/>
        </w:tabs>
        <w:spacing w:line="240" w:lineRule="auto"/>
        <w:rPr>
          <w:u w:val="single"/>
        </w:rPr>
      </w:pPr>
    </w:p>
    <w:p w14:paraId="62B1D665" w14:textId="77777777" w:rsidR="00040C77" w:rsidRPr="0016167A" w:rsidRDefault="00040C77" w:rsidP="00040C77">
      <w:pPr>
        <w:pStyle w:val="c3"/>
        <w:tabs>
          <w:tab w:val="left" w:pos="5140"/>
        </w:tabs>
        <w:spacing w:line="240" w:lineRule="auto"/>
        <w:rPr>
          <w:u w:val="single"/>
        </w:rPr>
      </w:pPr>
    </w:p>
    <w:p w14:paraId="5B7ABA74" w14:textId="77777777" w:rsidR="00682406" w:rsidRDefault="00682406" w:rsidP="00040C77">
      <w:pPr>
        <w:pStyle w:val="c3"/>
        <w:tabs>
          <w:tab w:val="left" w:pos="5140"/>
        </w:tabs>
        <w:spacing w:line="240" w:lineRule="auto"/>
        <w:rPr>
          <w:u w:val="single"/>
        </w:rPr>
      </w:pPr>
    </w:p>
    <w:p w14:paraId="0E4FE536" w14:textId="77777777" w:rsidR="00682406" w:rsidRDefault="00682406" w:rsidP="00040C77">
      <w:pPr>
        <w:pStyle w:val="c3"/>
        <w:tabs>
          <w:tab w:val="left" w:pos="5140"/>
        </w:tabs>
        <w:spacing w:line="240" w:lineRule="auto"/>
        <w:rPr>
          <w:u w:val="single"/>
        </w:rPr>
      </w:pPr>
    </w:p>
    <w:p w14:paraId="2A18FFC4" w14:textId="77777777" w:rsidR="00682406" w:rsidRDefault="00682406" w:rsidP="00040C77">
      <w:pPr>
        <w:pStyle w:val="c3"/>
        <w:tabs>
          <w:tab w:val="left" w:pos="5140"/>
        </w:tabs>
        <w:spacing w:line="240" w:lineRule="auto"/>
        <w:rPr>
          <w:u w:val="single"/>
        </w:rPr>
      </w:pPr>
    </w:p>
    <w:p w14:paraId="1C18D00E" w14:textId="77777777" w:rsidR="00682406" w:rsidRDefault="00682406" w:rsidP="00040C77">
      <w:pPr>
        <w:pStyle w:val="c3"/>
        <w:tabs>
          <w:tab w:val="left" w:pos="5140"/>
        </w:tabs>
        <w:spacing w:line="240" w:lineRule="auto"/>
        <w:rPr>
          <w:u w:val="single"/>
        </w:rPr>
      </w:pPr>
    </w:p>
    <w:p w14:paraId="7EF2785B" w14:textId="77777777" w:rsidR="00682406" w:rsidRDefault="00682406" w:rsidP="00040C77">
      <w:pPr>
        <w:pStyle w:val="c3"/>
        <w:tabs>
          <w:tab w:val="left" w:pos="5140"/>
        </w:tabs>
        <w:spacing w:line="240" w:lineRule="auto"/>
      </w:pPr>
    </w:p>
    <w:p w14:paraId="37004201" w14:textId="77777777" w:rsidR="00536F39" w:rsidRDefault="00536F39" w:rsidP="00040C77">
      <w:pPr>
        <w:pStyle w:val="c3"/>
        <w:tabs>
          <w:tab w:val="left" w:pos="5140"/>
        </w:tabs>
        <w:spacing w:line="240" w:lineRule="auto"/>
      </w:pPr>
    </w:p>
    <w:p w14:paraId="1FF0FF73" w14:textId="77777777" w:rsidR="00040C77" w:rsidRPr="0016167A" w:rsidRDefault="00040C77" w:rsidP="00040C77">
      <w:pPr>
        <w:pStyle w:val="c3"/>
        <w:tabs>
          <w:tab w:val="left" w:pos="5140"/>
        </w:tabs>
        <w:spacing w:line="240" w:lineRule="auto"/>
      </w:pPr>
    </w:p>
    <w:p w14:paraId="7B84A582" w14:textId="77777777" w:rsidR="00040C77" w:rsidRPr="00797BDE" w:rsidRDefault="00040C77" w:rsidP="00040C77">
      <w:pPr>
        <w:pStyle w:val="c3"/>
        <w:tabs>
          <w:tab w:val="left" w:pos="5140"/>
        </w:tabs>
        <w:spacing w:line="240" w:lineRule="auto"/>
      </w:pPr>
      <w:r w:rsidRPr="00797BDE">
        <w:lastRenderedPageBreak/>
        <w:t>CERTIFICATE OF COST ALLOCATION PLAN</w:t>
      </w:r>
    </w:p>
    <w:p w14:paraId="2ACE580D" w14:textId="77777777" w:rsidR="00040C77" w:rsidRPr="00797BDE" w:rsidRDefault="00040C77" w:rsidP="00040C77">
      <w:pPr>
        <w:pStyle w:val="c3"/>
        <w:tabs>
          <w:tab w:val="left" w:pos="5140"/>
        </w:tabs>
        <w:spacing w:line="240" w:lineRule="auto"/>
      </w:pPr>
    </w:p>
    <w:p w14:paraId="4914ACE2" w14:textId="77777777" w:rsidR="00040C77" w:rsidRPr="00797BDE" w:rsidRDefault="00040C77" w:rsidP="00040C77">
      <w:pPr>
        <w:pStyle w:val="c3"/>
        <w:tabs>
          <w:tab w:val="left" w:pos="5140"/>
        </w:tabs>
        <w:spacing w:line="240" w:lineRule="auto"/>
        <w:jc w:val="both"/>
      </w:pPr>
      <w:r w:rsidRPr="00797BDE">
        <w:t>This is to certify that I have reviewed the cost allocation plan submitted herewith and to the best of my knowledge and belief:</w:t>
      </w:r>
    </w:p>
    <w:p w14:paraId="393942DA" w14:textId="77777777" w:rsidR="00040C77" w:rsidRPr="00797BDE" w:rsidRDefault="00040C77" w:rsidP="00040C77">
      <w:pPr>
        <w:pStyle w:val="c3"/>
        <w:tabs>
          <w:tab w:val="left" w:pos="5140"/>
        </w:tabs>
        <w:spacing w:line="240" w:lineRule="auto"/>
        <w:jc w:val="both"/>
      </w:pPr>
    </w:p>
    <w:p w14:paraId="64C67C7C" w14:textId="77777777" w:rsidR="00040C77" w:rsidRPr="00797BDE" w:rsidRDefault="00040C77" w:rsidP="00040C77">
      <w:pPr>
        <w:pStyle w:val="c3"/>
        <w:tabs>
          <w:tab w:val="left" w:pos="5140"/>
        </w:tabs>
        <w:spacing w:line="240" w:lineRule="auto"/>
        <w:jc w:val="both"/>
      </w:pPr>
      <w:r w:rsidRPr="00797BDE">
        <w:t>This cost allocation plan has been prepared and implemented to allocate costs in accordance with the requirements of Generally Accepted Accounting Principles and</w:t>
      </w:r>
      <w:r w:rsidR="00AC4102">
        <w:t xml:space="preserve"> </w:t>
      </w:r>
      <w:r w:rsidR="0057162B">
        <w:t>2 CFR Part 225</w:t>
      </w:r>
      <w:r w:rsidR="00AC4102">
        <w:t xml:space="preserve"> and 45 CFR Part 92</w:t>
      </w:r>
      <w:r w:rsidR="0057162B">
        <w:t xml:space="preserve"> </w:t>
      </w:r>
      <w:r>
        <w:t xml:space="preserve">“Cost Principles for </w:t>
      </w:r>
      <w:r w:rsidR="00F55726">
        <w:t>State and Local Governments</w:t>
      </w:r>
      <w:r w:rsidRPr="00797BDE">
        <w:t>.”</w:t>
      </w:r>
    </w:p>
    <w:p w14:paraId="2DA29257" w14:textId="77777777" w:rsidR="00040C77" w:rsidRPr="00797BDE" w:rsidRDefault="00040C77" w:rsidP="00040C77">
      <w:pPr>
        <w:pStyle w:val="c3"/>
        <w:tabs>
          <w:tab w:val="left" w:pos="5140"/>
        </w:tabs>
        <w:spacing w:line="240" w:lineRule="auto"/>
        <w:jc w:val="both"/>
      </w:pPr>
    </w:p>
    <w:p w14:paraId="50D4DFA8" w14:textId="77777777" w:rsidR="00040C77" w:rsidRPr="00797BDE" w:rsidRDefault="00040C77" w:rsidP="00040C77">
      <w:pPr>
        <w:pStyle w:val="c3"/>
        <w:tabs>
          <w:tab w:val="left" w:pos="5140"/>
        </w:tabs>
        <w:spacing w:line="240" w:lineRule="auto"/>
        <w:jc w:val="both"/>
      </w:pPr>
      <w:r w:rsidRPr="00797BDE">
        <w:t>All costs included in this proposal are properly allocable to Federal awards on the basis of a beneficial or causal relationship between the expenses incurred and the agreements to which they are allocated in accordance with applicable requirements. Similar types of costs have been accounted for consistently and the State will be notified of any accounting changes that would affect the calculations.</w:t>
      </w:r>
    </w:p>
    <w:p w14:paraId="119517E3" w14:textId="77777777" w:rsidR="00040C77" w:rsidRPr="00797BDE" w:rsidRDefault="00040C77" w:rsidP="00040C77">
      <w:pPr>
        <w:pStyle w:val="c3"/>
        <w:tabs>
          <w:tab w:val="left" w:pos="5140"/>
        </w:tabs>
        <w:spacing w:line="240" w:lineRule="auto"/>
        <w:jc w:val="both"/>
      </w:pPr>
    </w:p>
    <w:p w14:paraId="1FC20980" w14:textId="77777777" w:rsidR="00040C77" w:rsidRPr="00797BDE" w:rsidRDefault="00040C77" w:rsidP="00040C77">
      <w:pPr>
        <w:pStyle w:val="c3"/>
        <w:tabs>
          <w:tab w:val="left" w:pos="5140"/>
        </w:tabs>
        <w:spacing w:line="240" w:lineRule="auto"/>
        <w:jc w:val="both"/>
      </w:pPr>
      <w:r w:rsidRPr="00797BDE">
        <w:t>I declare that the foregoing is true and correct.</w:t>
      </w:r>
    </w:p>
    <w:p w14:paraId="71F34984" w14:textId="77777777" w:rsidR="00040C77" w:rsidRPr="00797BDE" w:rsidRDefault="00040C77" w:rsidP="00040C77">
      <w:pPr>
        <w:pStyle w:val="c3"/>
        <w:tabs>
          <w:tab w:val="left" w:pos="5140"/>
        </w:tabs>
        <w:spacing w:line="240" w:lineRule="auto"/>
        <w:jc w:val="both"/>
      </w:pPr>
    </w:p>
    <w:p w14:paraId="1D583AE0" w14:textId="77777777" w:rsidR="00040C77" w:rsidRPr="00797BDE" w:rsidRDefault="00040C77" w:rsidP="00040C77">
      <w:pPr>
        <w:pStyle w:val="c3"/>
        <w:tabs>
          <w:tab w:val="left" w:pos="5140"/>
        </w:tabs>
        <w:spacing w:line="240" w:lineRule="auto"/>
        <w:jc w:val="both"/>
      </w:pPr>
    </w:p>
    <w:p w14:paraId="5CD768D5" w14:textId="77777777" w:rsidR="00040C77" w:rsidRPr="00797BDE" w:rsidRDefault="00040C77" w:rsidP="00040C77">
      <w:pPr>
        <w:pStyle w:val="c3"/>
        <w:tabs>
          <w:tab w:val="left" w:pos="5140"/>
        </w:tabs>
        <w:spacing w:line="240" w:lineRule="auto"/>
        <w:jc w:val="both"/>
        <w:rPr>
          <w:u w:val="single"/>
        </w:rPr>
      </w:pPr>
    </w:p>
    <w:p w14:paraId="4EDD9BD4" w14:textId="77777777" w:rsidR="00040C77" w:rsidRPr="00797BDE" w:rsidRDefault="00040C77" w:rsidP="00040C77">
      <w:pPr>
        <w:pStyle w:val="c3"/>
        <w:tabs>
          <w:tab w:val="right" w:pos="5220"/>
        </w:tabs>
        <w:spacing w:line="240" w:lineRule="auto"/>
        <w:jc w:val="both"/>
        <w:rPr>
          <w:u w:val="single"/>
        </w:rPr>
      </w:pPr>
      <w:r w:rsidRPr="00797BDE">
        <w:rPr>
          <w:u w:val="single"/>
        </w:rPr>
        <w:tab/>
      </w:r>
    </w:p>
    <w:p w14:paraId="26AFF5CD" w14:textId="77777777" w:rsidR="00040C77" w:rsidRPr="00797BDE" w:rsidRDefault="00040C77" w:rsidP="00040C77">
      <w:pPr>
        <w:pStyle w:val="c3"/>
        <w:tabs>
          <w:tab w:val="center" w:pos="2610"/>
        </w:tabs>
        <w:spacing w:line="240" w:lineRule="auto"/>
        <w:jc w:val="both"/>
      </w:pPr>
      <w:r w:rsidRPr="00797BDE">
        <w:tab/>
        <w:t>(Signature)</w:t>
      </w:r>
    </w:p>
    <w:p w14:paraId="47756E86" w14:textId="77777777" w:rsidR="00040C77" w:rsidRPr="00797BDE" w:rsidRDefault="00040C77" w:rsidP="00040C77">
      <w:pPr>
        <w:pStyle w:val="c3"/>
        <w:tabs>
          <w:tab w:val="left" w:pos="5140"/>
        </w:tabs>
        <w:spacing w:line="240" w:lineRule="auto"/>
        <w:jc w:val="both"/>
      </w:pPr>
      <w:r w:rsidRPr="00797BDE">
        <w:t>Executive Director</w:t>
      </w:r>
    </w:p>
    <w:p w14:paraId="7F1DD53B" w14:textId="77777777" w:rsidR="00040C77" w:rsidRPr="00797BDE" w:rsidRDefault="00040C77" w:rsidP="00040C77">
      <w:pPr>
        <w:pStyle w:val="c3"/>
        <w:tabs>
          <w:tab w:val="left" w:pos="5140"/>
        </w:tabs>
        <w:spacing w:line="240" w:lineRule="auto"/>
        <w:jc w:val="both"/>
      </w:pPr>
    </w:p>
    <w:p w14:paraId="368A2E5F" w14:textId="77777777" w:rsidR="00040C77" w:rsidRPr="00797BDE" w:rsidRDefault="00040C77" w:rsidP="00040C77">
      <w:pPr>
        <w:pStyle w:val="c3"/>
        <w:tabs>
          <w:tab w:val="left" w:pos="5140"/>
        </w:tabs>
        <w:spacing w:line="240" w:lineRule="auto"/>
        <w:jc w:val="both"/>
      </w:pPr>
    </w:p>
    <w:p w14:paraId="6E21C8C0" w14:textId="77777777" w:rsidR="00040C77" w:rsidRPr="00797BDE" w:rsidRDefault="00040C77" w:rsidP="00040C77">
      <w:pPr>
        <w:pStyle w:val="c3"/>
        <w:tabs>
          <w:tab w:val="left" w:pos="5140"/>
        </w:tabs>
        <w:spacing w:line="240" w:lineRule="auto"/>
        <w:jc w:val="both"/>
        <w:rPr>
          <w:u w:val="single"/>
        </w:rPr>
      </w:pPr>
    </w:p>
    <w:p w14:paraId="211F7094" w14:textId="77777777" w:rsidR="00040C77" w:rsidRPr="00797BDE" w:rsidRDefault="00040C77" w:rsidP="00040C77">
      <w:pPr>
        <w:pStyle w:val="c3"/>
        <w:tabs>
          <w:tab w:val="right" w:pos="5220"/>
        </w:tabs>
        <w:spacing w:line="240" w:lineRule="auto"/>
        <w:jc w:val="both"/>
      </w:pPr>
      <w:r w:rsidRPr="00797BDE">
        <w:rPr>
          <w:u w:val="single"/>
        </w:rPr>
        <w:tab/>
      </w:r>
    </w:p>
    <w:p w14:paraId="4E2E96EF" w14:textId="77777777" w:rsidR="00040C77" w:rsidRPr="00797BDE" w:rsidRDefault="00040C77" w:rsidP="00040C77">
      <w:pPr>
        <w:pStyle w:val="c3"/>
        <w:tabs>
          <w:tab w:val="center" w:pos="2610"/>
        </w:tabs>
        <w:spacing w:line="240" w:lineRule="auto"/>
        <w:jc w:val="both"/>
      </w:pPr>
      <w:r w:rsidRPr="00797BDE">
        <w:tab/>
        <w:t>(Signature)</w:t>
      </w:r>
    </w:p>
    <w:p w14:paraId="6C613F5D" w14:textId="77777777" w:rsidR="00040C77" w:rsidRPr="00797BDE" w:rsidRDefault="00040C77" w:rsidP="00040C77">
      <w:pPr>
        <w:pStyle w:val="c3"/>
        <w:tabs>
          <w:tab w:val="left" w:pos="5140"/>
        </w:tabs>
        <w:spacing w:line="240" w:lineRule="auto"/>
        <w:jc w:val="both"/>
      </w:pPr>
    </w:p>
    <w:p w14:paraId="69C8CC3E" w14:textId="77777777" w:rsidR="00040C77" w:rsidRPr="00797BDE" w:rsidRDefault="00040C77" w:rsidP="00040C77">
      <w:pPr>
        <w:pStyle w:val="c3"/>
        <w:tabs>
          <w:tab w:val="left" w:pos="5140"/>
        </w:tabs>
        <w:spacing w:line="240" w:lineRule="auto"/>
        <w:jc w:val="both"/>
        <w:rPr>
          <w:u w:val="single"/>
        </w:rPr>
      </w:pPr>
    </w:p>
    <w:p w14:paraId="5750514C" w14:textId="77777777" w:rsidR="00040C77" w:rsidRPr="00797BDE" w:rsidRDefault="00040C77" w:rsidP="00040C77">
      <w:pPr>
        <w:pStyle w:val="c3"/>
        <w:tabs>
          <w:tab w:val="right" w:pos="5220"/>
        </w:tabs>
        <w:spacing w:line="240" w:lineRule="auto"/>
        <w:jc w:val="both"/>
        <w:rPr>
          <w:u w:val="single"/>
        </w:rPr>
      </w:pPr>
      <w:r w:rsidRPr="00797BDE">
        <w:rPr>
          <w:u w:val="single"/>
        </w:rPr>
        <w:tab/>
      </w:r>
    </w:p>
    <w:p w14:paraId="3F4BA43B" w14:textId="77777777" w:rsidR="00040C77" w:rsidRPr="00797BDE" w:rsidRDefault="00040C77" w:rsidP="00040C77">
      <w:pPr>
        <w:pStyle w:val="c3"/>
        <w:tabs>
          <w:tab w:val="center" w:pos="2610"/>
        </w:tabs>
        <w:spacing w:line="240" w:lineRule="auto"/>
        <w:jc w:val="both"/>
      </w:pPr>
      <w:r w:rsidRPr="00797BDE">
        <w:tab/>
        <w:t>(Signature)</w:t>
      </w:r>
    </w:p>
    <w:p w14:paraId="53E83A2F" w14:textId="77777777" w:rsidR="00040C77" w:rsidRPr="00797BDE" w:rsidRDefault="00040C77" w:rsidP="00040C77">
      <w:pPr>
        <w:pStyle w:val="c3"/>
        <w:tabs>
          <w:tab w:val="left" w:pos="5140"/>
        </w:tabs>
        <w:spacing w:line="240" w:lineRule="auto"/>
        <w:jc w:val="both"/>
      </w:pPr>
      <w:r w:rsidRPr="00797BDE">
        <w:t xml:space="preserve"> </w:t>
      </w:r>
    </w:p>
    <w:p w14:paraId="0F0CF33F" w14:textId="77777777" w:rsidR="00040C77" w:rsidRPr="00797BDE" w:rsidRDefault="00040C77" w:rsidP="00040C77">
      <w:pPr>
        <w:pStyle w:val="c3"/>
        <w:tabs>
          <w:tab w:val="left" w:pos="2160"/>
          <w:tab w:val="right" w:pos="5310"/>
        </w:tabs>
        <w:spacing w:line="240" w:lineRule="auto"/>
        <w:jc w:val="left"/>
      </w:pPr>
      <w:r w:rsidRPr="00797BDE">
        <w:t>Date of Execution:</w:t>
      </w:r>
      <w:r>
        <w:tab/>
      </w:r>
    </w:p>
    <w:p w14:paraId="7EDC6703" w14:textId="77777777" w:rsidR="00040C77" w:rsidRPr="00797BDE" w:rsidRDefault="00040C77" w:rsidP="00040C77">
      <w:pPr>
        <w:pStyle w:val="c3"/>
        <w:tabs>
          <w:tab w:val="left" w:pos="5140"/>
        </w:tabs>
        <w:spacing w:line="240" w:lineRule="auto"/>
      </w:pPr>
    </w:p>
    <w:p w14:paraId="6868E7F5" w14:textId="77777777" w:rsidR="00040C77" w:rsidRPr="00797BDE" w:rsidRDefault="00040C77" w:rsidP="00040C77">
      <w:pPr>
        <w:pStyle w:val="c3"/>
        <w:tabs>
          <w:tab w:val="left" w:pos="5140"/>
        </w:tabs>
        <w:spacing w:line="240" w:lineRule="auto"/>
      </w:pPr>
    </w:p>
    <w:p w14:paraId="1B97843D" w14:textId="77777777" w:rsidR="00040C77" w:rsidRPr="00797BDE" w:rsidRDefault="00040C77" w:rsidP="00040C77">
      <w:pPr>
        <w:pStyle w:val="c3"/>
        <w:tabs>
          <w:tab w:val="left" w:pos="5140"/>
        </w:tabs>
        <w:spacing w:line="240" w:lineRule="auto"/>
      </w:pPr>
    </w:p>
    <w:p w14:paraId="1EB8D0A9" w14:textId="77777777" w:rsidR="00040C77" w:rsidRPr="00797BDE" w:rsidRDefault="00040C77" w:rsidP="00040C77">
      <w:pPr>
        <w:pStyle w:val="c3"/>
        <w:tabs>
          <w:tab w:val="left" w:pos="5140"/>
        </w:tabs>
        <w:spacing w:line="240" w:lineRule="auto"/>
      </w:pPr>
    </w:p>
    <w:p w14:paraId="33299539" w14:textId="77777777" w:rsidR="00040C77" w:rsidRPr="00797BDE" w:rsidRDefault="00040C77" w:rsidP="00040C77">
      <w:pPr>
        <w:pStyle w:val="c3"/>
        <w:tabs>
          <w:tab w:val="left" w:pos="5140"/>
        </w:tabs>
        <w:spacing w:line="240" w:lineRule="auto"/>
        <w:rPr>
          <w:sz w:val="32"/>
          <w:szCs w:val="32"/>
        </w:rPr>
      </w:pPr>
      <w:r w:rsidRPr="00797BDE">
        <w:br w:type="page"/>
      </w:r>
      <w:r w:rsidR="00F703C7">
        <w:rPr>
          <w:sz w:val="32"/>
          <w:szCs w:val="32"/>
        </w:rPr>
        <w:lastRenderedPageBreak/>
        <w:t>Plattsmouth Community Schools</w:t>
      </w:r>
    </w:p>
    <w:p w14:paraId="5D4E7D87" w14:textId="77777777" w:rsidR="00040C77" w:rsidRPr="00797BDE" w:rsidRDefault="00040C77" w:rsidP="00040C77">
      <w:pPr>
        <w:pStyle w:val="c3"/>
        <w:tabs>
          <w:tab w:val="left" w:pos="5140"/>
        </w:tabs>
        <w:spacing w:line="240" w:lineRule="auto"/>
        <w:rPr>
          <w:sz w:val="32"/>
          <w:szCs w:val="32"/>
        </w:rPr>
      </w:pPr>
      <w:r w:rsidRPr="00797BDE">
        <w:rPr>
          <w:sz w:val="32"/>
          <w:szCs w:val="32"/>
        </w:rPr>
        <w:t>Cost Allocation Plan</w:t>
      </w:r>
    </w:p>
    <w:p w14:paraId="27328B5F" w14:textId="77777777" w:rsidR="00040C77" w:rsidRPr="00797BDE" w:rsidRDefault="00040C77" w:rsidP="00040C77">
      <w:pPr>
        <w:pStyle w:val="c3"/>
        <w:tabs>
          <w:tab w:val="left" w:pos="5140"/>
        </w:tabs>
        <w:spacing w:line="240" w:lineRule="auto"/>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040C77" w:rsidRPr="00797BDE" w14:paraId="4289B1A4" w14:textId="77777777">
        <w:tc>
          <w:tcPr>
            <w:tcW w:w="11178" w:type="dxa"/>
            <w:shd w:val="clear" w:color="auto" w:fill="C0C0C0"/>
          </w:tcPr>
          <w:p w14:paraId="5919817E" w14:textId="77777777" w:rsidR="00040C77" w:rsidRPr="00797BDE" w:rsidRDefault="00040C77" w:rsidP="00C25A99">
            <w:pPr>
              <w:pStyle w:val="Heading1"/>
              <w:rPr>
                <w:sz w:val="32"/>
                <w:u w:val="none"/>
              </w:rPr>
            </w:pPr>
            <w:r w:rsidRPr="00797BDE">
              <w:rPr>
                <w:sz w:val="32"/>
                <w:u w:val="none"/>
              </w:rPr>
              <w:t>Purpose/General Statements</w:t>
            </w:r>
          </w:p>
        </w:tc>
      </w:tr>
    </w:tbl>
    <w:p w14:paraId="3770A583" w14:textId="77777777" w:rsidR="00040C77" w:rsidRPr="00797BDE" w:rsidRDefault="00040C77" w:rsidP="00040C77">
      <w:pPr>
        <w:pStyle w:val="Heading1"/>
        <w:rPr>
          <w:u w:val="none"/>
        </w:rPr>
      </w:pPr>
    </w:p>
    <w:p w14:paraId="778A709F" w14:textId="77777777" w:rsidR="00040C77" w:rsidRPr="00797BDE" w:rsidRDefault="00040C77" w:rsidP="00040C77"/>
    <w:p w14:paraId="150F8265" w14:textId="77777777" w:rsidR="00040C77" w:rsidRPr="00797BDE" w:rsidRDefault="00040C77" w:rsidP="00040C77">
      <w:pPr>
        <w:pStyle w:val="BodyText"/>
      </w:pPr>
      <w:r w:rsidRPr="00797BDE">
        <w:t xml:space="preserve">The purpose of this cost allocation plan is to summarize, in writing, the methods and procedures that this organization will use to allocate costs to various programs, grants, contracts and agreements. </w:t>
      </w:r>
    </w:p>
    <w:p w14:paraId="0F0A0F45" w14:textId="77777777" w:rsidR="00040C77" w:rsidRPr="00797BDE" w:rsidRDefault="00040C77" w:rsidP="00040C77">
      <w:pPr>
        <w:jc w:val="both"/>
      </w:pPr>
    </w:p>
    <w:p w14:paraId="0FF894D9" w14:textId="13672FDE" w:rsidR="00040C77" w:rsidRPr="00797BDE" w:rsidRDefault="00040C77" w:rsidP="00040C77">
      <w:pPr>
        <w:jc w:val="both"/>
      </w:pPr>
      <w:r w:rsidRPr="00040C77">
        <w:rPr>
          <w:iCs/>
        </w:rPr>
        <w:t>Plattsmouth Community Schools</w:t>
      </w:r>
      <w:r>
        <w:rPr>
          <w:iCs/>
        </w:rPr>
        <w:t xml:space="preserve">’ </w:t>
      </w:r>
      <w:r w:rsidRPr="00797BDE">
        <w:t>Cost Allocation Plan is based on the Direct Allocation method described in</w:t>
      </w:r>
      <w:r w:rsidR="00C20E1B">
        <w:t xml:space="preserve"> ** Part 200 of the Super Circular,</w:t>
      </w:r>
      <w:r w:rsidRPr="00797BDE">
        <w:t xml:space="preserve"> </w:t>
      </w:r>
      <w:r w:rsidR="0057162B" w:rsidRPr="00FB11A1">
        <w:rPr>
          <w:color w:val="FF6600"/>
        </w:rPr>
        <w:t xml:space="preserve">2 </w:t>
      </w:r>
      <w:r w:rsidR="00AC4102" w:rsidRPr="00FB11A1">
        <w:rPr>
          <w:color w:val="FF6600"/>
        </w:rPr>
        <w:t>CFR Part 225 and 45 CFR Part 92.</w:t>
      </w:r>
      <w:r w:rsidR="0057162B">
        <w:t xml:space="preserve"> </w:t>
      </w:r>
      <w:r w:rsidRPr="00797BDE">
        <w:t xml:space="preserve">The Direct Allocation Method treats all costs as direct costs except general administration and general expenses. </w:t>
      </w:r>
    </w:p>
    <w:p w14:paraId="4E7306F2" w14:textId="77777777" w:rsidR="00040C77" w:rsidRPr="00797BDE" w:rsidRDefault="00040C77" w:rsidP="00040C77">
      <w:pPr>
        <w:jc w:val="both"/>
      </w:pPr>
    </w:p>
    <w:p w14:paraId="2DDE6202" w14:textId="77777777" w:rsidR="00040C77" w:rsidRPr="00797BDE" w:rsidRDefault="00040C77" w:rsidP="00040C77">
      <w:pPr>
        <w:jc w:val="both"/>
      </w:pPr>
      <w:r w:rsidRPr="00797BDE">
        <w:t>Direct costs are those that can be identified specifically with a particular final cost objective.  Indirect costs are those that have been incurred for common or joint objectives and cannot be readily identified with a particular final cost objective.</w:t>
      </w:r>
    </w:p>
    <w:p w14:paraId="4762B660" w14:textId="77777777" w:rsidR="00040C77" w:rsidRPr="00797BDE" w:rsidRDefault="00040C77" w:rsidP="00040C77">
      <w:pPr>
        <w:jc w:val="both"/>
      </w:pPr>
    </w:p>
    <w:p w14:paraId="30FB5DF0" w14:textId="77777777" w:rsidR="00040C77" w:rsidRPr="00797BDE" w:rsidRDefault="00040C77" w:rsidP="00040C77">
      <w:pPr>
        <w:jc w:val="both"/>
      </w:pPr>
      <w:r w:rsidRPr="00797BDE">
        <w:t xml:space="preserve">Only costs that are allowable, in accordance with the cost principles, will be allocated to benefiting programs by </w:t>
      </w:r>
      <w:r w:rsidRPr="00040C77">
        <w:rPr>
          <w:iCs/>
        </w:rPr>
        <w:t>Plattsmouth Community Schools</w:t>
      </w:r>
      <w:r w:rsidRPr="00797BDE">
        <w:t xml:space="preserve">.  </w:t>
      </w:r>
    </w:p>
    <w:p w14:paraId="364F8A98" w14:textId="77777777" w:rsidR="00040C77" w:rsidRPr="00797BDE" w:rsidRDefault="00040C77" w:rsidP="00040C77">
      <w:pPr>
        <w:jc w:val="both"/>
        <w:rPr>
          <w:b/>
        </w:rPr>
      </w:pPr>
    </w:p>
    <w:p w14:paraId="2484AADC" w14:textId="77777777" w:rsidR="00040C77" w:rsidRPr="00797BDE" w:rsidRDefault="00040C77" w:rsidP="00040C77">
      <w:pPr>
        <w:jc w:val="both"/>
        <w:rPr>
          <w:b/>
        </w:rPr>
      </w:pPr>
    </w:p>
    <w:p w14:paraId="109B71E6" w14:textId="77777777" w:rsidR="00040C77" w:rsidRPr="00797BDE" w:rsidRDefault="00040C77" w:rsidP="00040C77">
      <w:pPr>
        <w:jc w:val="both"/>
        <w:rPr>
          <w:b/>
        </w:rPr>
      </w:pPr>
      <w:bookmarkStart w:id="0" w:name="OLE_LINK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040C77" w:rsidRPr="00797BDE" w14:paraId="153C9167" w14:textId="77777777">
        <w:tc>
          <w:tcPr>
            <w:tcW w:w="11178" w:type="dxa"/>
            <w:shd w:val="clear" w:color="auto" w:fill="C0C0C0"/>
          </w:tcPr>
          <w:p w14:paraId="366D2BF8" w14:textId="77777777" w:rsidR="00040C77" w:rsidRPr="00797BDE" w:rsidRDefault="00040C77" w:rsidP="00C25A99">
            <w:pPr>
              <w:pStyle w:val="Heading1"/>
              <w:rPr>
                <w:sz w:val="32"/>
                <w:u w:val="none"/>
              </w:rPr>
            </w:pPr>
            <w:r w:rsidRPr="00797BDE">
              <w:rPr>
                <w:sz w:val="32"/>
                <w:u w:val="none"/>
              </w:rPr>
              <w:t>General Approach</w:t>
            </w:r>
          </w:p>
        </w:tc>
      </w:tr>
      <w:bookmarkEnd w:id="0"/>
    </w:tbl>
    <w:p w14:paraId="4FA2DAC2" w14:textId="77777777" w:rsidR="00040C77" w:rsidRPr="00797BDE" w:rsidRDefault="00040C77" w:rsidP="00040C77">
      <w:pPr>
        <w:jc w:val="both"/>
      </w:pPr>
    </w:p>
    <w:p w14:paraId="35AF231D" w14:textId="77777777" w:rsidR="00040C77" w:rsidRPr="00797BDE" w:rsidRDefault="00040C77" w:rsidP="00040C77">
      <w:pPr>
        <w:jc w:val="both"/>
      </w:pPr>
    </w:p>
    <w:p w14:paraId="1AE2D2D3" w14:textId="77777777" w:rsidR="00040C77" w:rsidRPr="00797BDE" w:rsidRDefault="00040C77" w:rsidP="00040C77">
      <w:pPr>
        <w:jc w:val="both"/>
      </w:pPr>
      <w:r w:rsidRPr="00797BDE">
        <w:t xml:space="preserve">The general approach of the </w:t>
      </w:r>
      <w:r w:rsidR="00F703C7">
        <w:t>Plattsmouth Community Schools</w:t>
      </w:r>
      <w:r w:rsidRPr="00797BDE">
        <w:t xml:space="preserve"> in allocating costs to particular grants and contracts is as follows:</w:t>
      </w:r>
    </w:p>
    <w:p w14:paraId="0ABEA07A" w14:textId="77777777" w:rsidR="00040C77" w:rsidRPr="00797BDE" w:rsidRDefault="00040C77" w:rsidP="00040C77">
      <w:pPr>
        <w:jc w:val="both"/>
      </w:pPr>
    </w:p>
    <w:p w14:paraId="4E1F2829" w14:textId="77777777" w:rsidR="00040C77" w:rsidRPr="00797BDE" w:rsidRDefault="00040C77" w:rsidP="00040C77">
      <w:pPr>
        <w:pStyle w:val="QuickA"/>
        <w:numPr>
          <w:ilvl w:val="0"/>
          <w:numId w:val="5"/>
        </w:numPr>
        <w:tabs>
          <w:tab w:val="left" w:pos="-1440"/>
        </w:tabs>
        <w:jc w:val="both"/>
      </w:pPr>
      <w:r w:rsidRPr="00797BDE">
        <w:tab/>
        <w:t>All allowable direct costs are charged directly to programs, grants, activity, etc.</w:t>
      </w:r>
    </w:p>
    <w:p w14:paraId="1C547D72" w14:textId="77777777" w:rsidR="00040C77" w:rsidRPr="00797BDE" w:rsidRDefault="00040C77" w:rsidP="00040C77">
      <w:pPr>
        <w:jc w:val="both"/>
      </w:pPr>
    </w:p>
    <w:p w14:paraId="705D3C01" w14:textId="77777777" w:rsidR="00040C77" w:rsidRPr="00797BDE" w:rsidRDefault="00040C77" w:rsidP="00040C77">
      <w:pPr>
        <w:pStyle w:val="QuickA"/>
        <w:numPr>
          <w:ilvl w:val="0"/>
          <w:numId w:val="5"/>
        </w:numPr>
        <w:tabs>
          <w:tab w:val="left" w:pos="-1440"/>
        </w:tabs>
        <w:ind w:left="1440" w:hanging="720"/>
        <w:jc w:val="both"/>
      </w:pPr>
      <w:r w:rsidRPr="00797BDE">
        <w:tab/>
        <w:t>Allowable direct costs that can be identified to more than one program are prorated individually as direct costs using a base most appropriate to the particular cost being prorated.</w:t>
      </w:r>
    </w:p>
    <w:p w14:paraId="43D3D80B" w14:textId="77777777" w:rsidR="00040C77" w:rsidRPr="00797BDE" w:rsidRDefault="00040C77" w:rsidP="00040C77">
      <w:pPr>
        <w:pStyle w:val="QuickA"/>
        <w:numPr>
          <w:ilvl w:val="0"/>
          <w:numId w:val="0"/>
        </w:numPr>
        <w:tabs>
          <w:tab w:val="left" w:pos="-1440"/>
        </w:tabs>
        <w:jc w:val="both"/>
      </w:pPr>
    </w:p>
    <w:p w14:paraId="3113E435" w14:textId="77777777" w:rsidR="00040C77" w:rsidRPr="00797BDE" w:rsidRDefault="00040C77" w:rsidP="00040C77">
      <w:pPr>
        <w:pStyle w:val="QuickA"/>
        <w:numPr>
          <w:ilvl w:val="0"/>
          <w:numId w:val="5"/>
        </w:numPr>
        <w:tabs>
          <w:tab w:val="left" w:pos="-1440"/>
        </w:tabs>
        <w:ind w:left="1440" w:hanging="720"/>
        <w:jc w:val="both"/>
      </w:pPr>
      <w:r w:rsidRPr="00797BDE">
        <w:tab/>
        <w:t>All other allowable general and administrative costs (costs that benefit all programs and cannot be identified to a specific program) are allocated to programs, grants, etc. using a base that results in an equitable distribution.</w:t>
      </w:r>
    </w:p>
    <w:p w14:paraId="6326804C" w14:textId="77777777" w:rsidR="00682406" w:rsidRDefault="00682406" w:rsidP="00682406">
      <w:pPr>
        <w:widowControl/>
        <w:autoSpaceDE/>
        <w:autoSpaceDN/>
        <w:rPr>
          <w:b/>
        </w:rPr>
      </w:pPr>
    </w:p>
    <w:p w14:paraId="5714C28B" w14:textId="77777777" w:rsidR="00682406" w:rsidRDefault="00682406" w:rsidP="00682406">
      <w:pPr>
        <w:widowControl/>
        <w:autoSpaceDE/>
        <w:autoSpaceDN/>
        <w:rPr>
          <w:b/>
        </w:rPr>
      </w:pPr>
    </w:p>
    <w:p w14:paraId="52782DA7" w14:textId="77777777" w:rsidR="00682406" w:rsidRDefault="00682406" w:rsidP="00682406">
      <w:pPr>
        <w:widowControl/>
        <w:autoSpaceDE/>
        <w:autoSpaceDN/>
        <w:rPr>
          <w:b/>
        </w:rPr>
      </w:pPr>
    </w:p>
    <w:p w14:paraId="677C53BB" w14:textId="77777777" w:rsidR="00040C77" w:rsidRPr="00797BDE" w:rsidRDefault="00040C77" w:rsidP="00682406">
      <w:pPr>
        <w:widowControl/>
        <w:autoSpaceDE/>
        <w:autoSpaceDN/>
        <w:rPr>
          <w:b/>
        </w:rPr>
      </w:pPr>
    </w:p>
    <w:p w14:paraId="27A514A3" w14:textId="77777777" w:rsidR="00040C77" w:rsidRPr="00A51672" w:rsidRDefault="00040C77" w:rsidP="00040C7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040C77" w14:paraId="6903921B" w14:textId="77777777">
        <w:tc>
          <w:tcPr>
            <w:tcW w:w="11178" w:type="dxa"/>
            <w:tcBorders>
              <w:top w:val="single" w:sz="4" w:space="0" w:color="auto"/>
              <w:left w:val="single" w:sz="4" w:space="0" w:color="auto"/>
              <w:bottom w:val="single" w:sz="4" w:space="0" w:color="auto"/>
              <w:right w:val="single" w:sz="4" w:space="0" w:color="auto"/>
            </w:tcBorders>
            <w:shd w:val="clear" w:color="auto" w:fill="C0C0C0"/>
          </w:tcPr>
          <w:p w14:paraId="031573AE" w14:textId="77777777" w:rsidR="00040C77" w:rsidRDefault="00040C77">
            <w:pPr>
              <w:pStyle w:val="Heading1"/>
              <w:rPr>
                <w:sz w:val="32"/>
                <w:u w:val="none"/>
              </w:rPr>
            </w:pPr>
            <w:r>
              <w:rPr>
                <w:sz w:val="32"/>
                <w:u w:val="none"/>
              </w:rPr>
              <w:lastRenderedPageBreak/>
              <w:t>Definition of Costs</w:t>
            </w:r>
          </w:p>
        </w:tc>
      </w:tr>
    </w:tbl>
    <w:p w14:paraId="490902FB" w14:textId="77777777" w:rsidR="00040C77" w:rsidRPr="00797BDE" w:rsidRDefault="00040C77" w:rsidP="00040C77">
      <w:pPr>
        <w:pStyle w:val="c3"/>
        <w:tabs>
          <w:tab w:val="left" w:pos="5140"/>
        </w:tabs>
        <w:spacing w:line="240" w:lineRule="auto"/>
        <w:jc w:val="left"/>
      </w:pPr>
    </w:p>
    <w:p w14:paraId="79C43A9C" w14:textId="78A41A08" w:rsidR="00040C77" w:rsidRPr="00797BDE" w:rsidRDefault="00040C77" w:rsidP="00040C77">
      <w:pPr>
        <w:pStyle w:val="c3"/>
        <w:tabs>
          <w:tab w:val="left" w:pos="5140"/>
        </w:tabs>
        <w:spacing w:line="240" w:lineRule="auto"/>
        <w:jc w:val="both"/>
      </w:pPr>
      <w:r w:rsidRPr="00797BDE">
        <w:rPr>
          <w:b/>
        </w:rPr>
        <w:t>Allocable Costs:</w:t>
      </w:r>
      <w:r w:rsidRPr="00797BDE">
        <w:t xml:space="preserve"> A cost is allocable to a particular cost objective, such as a grant, contract, project, service or other activity, in accordance with the relative benefits received. A cost is allocable to a Federal award if it is treated consistently with other costs incurred for the same purpose in like circumstances as defined further in </w:t>
      </w:r>
      <w:r w:rsidR="00C20E1B">
        <w:t xml:space="preserve">** Part 200, Super Circular, </w:t>
      </w:r>
      <w:r w:rsidR="00AC4102" w:rsidRPr="00FB11A1">
        <w:rPr>
          <w:color w:val="FF6600"/>
        </w:rPr>
        <w:t>2 CFR Part 225 and 45 CFR Part 92</w:t>
      </w:r>
      <w:r w:rsidR="00AC4102">
        <w:t xml:space="preserve"> “Cost Principles for State and Local Governments</w:t>
      </w:r>
      <w:r w:rsidR="00AC4102" w:rsidRPr="00797BDE">
        <w:t>.”</w:t>
      </w:r>
      <w:r w:rsidRPr="00797BDE">
        <w:t>. The same definition is applied to any other funding sources.</w:t>
      </w:r>
    </w:p>
    <w:p w14:paraId="7809744B" w14:textId="77777777" w:rsidR="00040C77" w:rsidRPr="00797BDE" w:rsidRDefault="00040C77" w:rsidP="00040C77">
      <w:pPr>
        <w:pStyle w:val="c3"/>
        <w:tabs>
          <w:tab w:val="left" w:pos="5140"/>
        </w:tabs>
        <w:spacing w:line="240" w:lineRule="auto"/>
        <w:jc w:val="both"/>
      </w:pPr>
    </w:p>
    <w:p w14:paraId="1DBF6ABE" w14:textId="4A87A290" w:rsidR="00040C77" w:rsidRPr="00797BDE" w:rsidRDefault="00040C77" w:rsidP="00040C77">
      <w:pPr>
        <w:pStyle w:val="c3"/>
        <w:tabs>
          <w:tab w:val="left" w:pos="5140"/>
        </w:tabs>
        <w:spacing w:line="240" w:lineRule="auto"/>
        <w:jc w:val="both"/>
      </w:pPr>
      <w:r w:rsidRPr="00797BDE">
        <w:rPr>
          <w:b/>
        </w:rPr>
        <w:t>Reasonable Costs:</w:t>
      </w:r>
      <w:r w:rsidRPr="00797BDE">
        <w:t xml:space="preserve"> A cost is reasonable if, in its nature or amount, it does not exceed that which would be incurred by a prudent person under the circumstances prevailing at the time the decision was made to incur the cost. The question of reasonableness of specific costs must be scrutinized with particular care in connection with organizations or separate divisions thereof which received the preponderance of their support from awards made by Federal agencies. In determining the reasonableness of a given cost, consideration shall be given to whether the purchase is necessary, meets acceptable sound business practices, complies with Federal and state law and maintains arms length. In compliance with </w:t>
      </w:r>
      <w:r w:rsidR="00C20E1B">
        <w:t xml:space="preserve">** Part 200, Super Circular, </w:t>
      </w:r>
      <w:r w:rsidR="00AC4102" w:rsidRPr="00FB11A1">
        <w:rPr>
          <w:color w:val="FF6600"/>
        </w:rPr>
        <w:t>2 CFR Part 225 and 45 CFR Part 92</w:t>
      </w:r>
      <w:r w:rsidR="00AC4102">
        <w:t xml:space="preserve"> “Cost Principles for State and Local Governments</w:t>
      </w:r>
      <w:r w:rsidR="00470256">
        <w:t>”.</w:t>
      </w:r>
    </w:p>
    <w:p w14:paraId="536EBA7D" w14:textId="77777777" w:rsidR="00040C77" w:rsidRPr="00797BDE" w:rsidRDefault="00040C77" w:rsidP="00040C77">
      <w:pPr>
        <w:pStyle w:val="c3"/>
        <w:tabs>
          <w:tab w:val="left" w:pos="5140"/>
        </w:tabs>
        <w:spacing w:line="240" w:lineRule="auto"/>
        <w:jc w:val="both"/>
      </w:pPr>
    </w:p>
    <w:p w14:paraId="59F5217A" w14:textId="77777777" w:rsidR="00040C77" w:rsidRPr="00797BDE" w:rsidRDefault="00040C77" w:rsidP="00040C77">
      <w:pPr>
        <w:pStyle w:val="c3"/>
        <w:tabs>
          <w:tab w:val="left" w:pos="5140"/>
        </w:tabs>
        <w:spacing w:line="240" w:lineRule="auto"/>
        <w:jc w:val="both"/>
        <w:rPr>
          <w:b/>
        </w:rPr>
      </w:pPr>
      <w:r w:rsidRPr="00797BDE">
        <w:rPr>
          <w:b/>
        </w:rPr>
        <w:t xml:space="preserve">Allowable Costs: </w:t>
      </w:r>
    </w:p>
    <w:tbl>
      <w:tblPr>
        <w:tblW w:w="735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16"/>
        <w:gridCol w:w="5934"/>
      </w:tblGrid>
      <w:tr w:rsidR="00040C77" w:rsidRPr="007B27EB" w14:paraId="7A6CE03C"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C123DE2"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b/>
                <w:bCs/>
                <w:color w:val="404040"/>
                <w:sz w:val="18"/>
              </w:rPr>
              <w:t xml:space="preserve">Grant funds </w:t>
            </w:r>
            <w:r w:rsidRPr="007B27EB">
              <w:rPr>
                <w:rFonts w:ascii="Verdana" w:hAnsi="Verdana"/>
                <w:b/>
                <w:bCs/>
                <w:color w:val="404040"/>
                <w:sz w:val="18"/>
                <w:szCs w:val="18"/>
              </w:rPr>
              <w:br/>
            </w:r>
            <w:r w:rsidRPr="007B27EB">
              <w:rPr>
                <w:rFonts w:ascii="Verdana" w:hAnsi="Verdana"/>
                <w:b/>
                <w:bCs/>
                <w:color w:val="404040"/>
                <w:sz w:val="18"/>
              </w:rPr>
              <w:t>may be used for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2DCC48B"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 </w:t>
            </w:r>
            <w:r w:rsidRPr="007B27EB">
              <w:rPr>
                <w:rFonts w:ascii="Verdana" w:hAnsi="Verdana"/>
                <w:b/>
                <w:bCs/>
                <w:color w:val="404040"/>
                <w:sz w:val="18"/>
              </w:rPr>
              <w:t>Under the following Circumstances</w:t>
            </w:r>
          </w:p>
        </w:tc>
      </w:tr>
      <w:tr w:rsidR="00040C77" w:rsidRPr="007B27EB" w14:paraId="03AFD159"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DE35289"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Conference services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E22B9C"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Necessary recording of proceedings, simultaneous translation, and subsequent transcriptions.</w:t>
            </w:r>
          </w:p>
        </w:tc>
      </w:tr>
      <w:tr w:rsidR="00040C77" w:rsidRPr="007B27EB" w14:paraId="4E05AD0F"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FEF65D"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 </w:t>
            </w:r>
            <w:r w:rsidRPr="007B27EB">
              <w:rPr>
                <w:rFonts w:ascii="Verdana" w:hAnsi="Verdana"/>
                <w:color w:val="404040"/>
                <w:sz w:val="18"/>
                <w:szCs w:val="18"/>
              </w:rPr>
              <w:br/>
              <w:t>Consultant services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23DF5A5"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Consultant fees, including travel and supporting costs (per diem or, where applicable, subsistence).</w:t>
            </w:r>
          </w:p>
        </w:tc>
      </w:tr>
      <w:tr w:rsidR="00040C77" w:rsidRPr="007B27EB" w14:paraId="54394F18"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ACCE480"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br/>
              <w:t>Equipment rental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166EA5A"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 Rental of necessary equipment.</w:t>
            </w:r>
          </w:p>
        </w:tc>
      </w:tr>
      <w:tr w:rsidR="00040C77" w:rsidRPr="007B27EB" w14:paraId="0DD284BB"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59C21BD"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 </w:t>
            </w:r>
            <w:r w:rsidRPr="007B27EB">
              <w:rPr>
                <w:rFonts w:ascii="Verdana" w:hAnsi="Verdana"/>
                <w:color w:val="404040"/>
                <w:sz w:val="18"/>
                <w:szCs w:val="18"/>
              </w:rPr>
              <w:br/>
              <w:t>Federal employees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1C71738"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See “Requirements for Specific Types of Recipients–Grants to Federal Institutions and Payments to (or on Behalf of) Federal Employees under Grants.”</w:t>
            </w:r>
          </w:p>
        </w:tc>
      </w:tr>
      <w:tr w:rsidR="00040C77" w:rsidRPr="007B27EB" w14:paraId="14526A2A"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03AB50D"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Meals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74099A0" w14:textId="77777777" w:rsidR="00040C77" w:rsidRPr="007B27EB" w:rsidRDefault="00040C77" w:rsidP="00FB11A1">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When certain meals are an integral and necessary part of a conference (i.e., a working meal where business is transacted), grant funds may be used for such meals, as qualified under “Travel”</w:t>
            </w:r>
            <w:r w:rsidR="00FB11A1">
              <w:rPr>
                <w:rFonts w:ascii="Verdana" w:hAnsi="Verdana"/>
                <w:color w:val="404040"/>
                <w:sz w:val="18"/>
                <w:szCs w:val="18"/>
              </w:rPr>
              <w:t>.</w:t>
            </w:r>
          </w:p>
        </w:tc>
      </w:tr>
      <w:tr w:rsidR="00040C77" w:rsidRPr="007B27EB" w14:paraId="6A2443AB"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8BF9B55"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 </w:t>
            </w:r>
            <w:r w:rsidRPr="007B27EB">
              <w:rPr>
                <w:rFonts w:ascii="Verdana" w:hAnsi="Verdana"/>
                <w:color w:val="404040"/>
                <w:sz w:val="18"/>
                <w:szCs w:val="18"/>
              </w:rPr>
              <w:br/>
              <w:t>Publication costs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9B6F00F"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When grant funds are awarded to pay for either the entire or partial cost of publication of proceedings or a book or pamphlet, costs of special plates, charts, diagrams, printing, distribution, mailing, postage, and general handling, unless otherwise specified in the NoA.</w:t>
            </w:r>
          </w:p>
        </w:tc>
      </w:tr>
      <w:tr w:rsidR="00040C77" w:rsidRPr="007B27EB" w14:paraId="2AC6FAD7"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C44D742"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lastRenderedPageBreak/>
              <w:t> </w:t>
            </w:r>
            <w:r w:rsidRPr="007B27EB">
              <w:rPr>
                <w:rFonts w:ascii="Verdana" w:hAnsi="Verdana"/>
                <w:color w:val="404040"/>
                <w:sz w:val="18"/>
                <w:szCs w:val="18"/>
              </w:rPr>
              <w:br/>
              <w:t>Registration fees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802B42D"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Registration fees paid by the recipient to other organizations on behalf of attendees provided such fees cover only those allowable costs properly chargeable to the grant.</w:t>
            </w:r>
          </w:p>
        </w:tc>
      </w:tr>
      <w:tr w:rsidR="00040C77" w:rsidRPr="007B27EB" w14:paraId="014804E4"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E91D170"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Salaries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B1C8C88"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In accordance with the policy of the recipient, all or part of the salaries of professional personnel, clerical assistants, editorial assistants, and other non-professional staff in proportion to the time or effort directly related to the conference.</w:t>
            </w:r>
          </w:p>
        </w:tc>
      </w:tr>
      <w:tr w:rsidR="00040C77" w:rsidRPr="007B27EB" w14:paraId="23A3319E"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F05D3E"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Speakers’ fees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A35F921"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Speakers’ fees for services rendered.</w:t>
            </w:r>
          </w:p>
        </w:tc>
      </w:tr>
      <w:tr w:rsidR="00040C77" w:rsidRPr="007B27EB" w14:paraId="543B8694"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6B350F1"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 xml:space="preserve">Supplies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834FF85"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Purchase of supplies for the conference if the supplies are received and used during the project period.</w:t>
            </w:r>
          </w:p>
        </w:tc>
      </w:tr>
      <w:tr w:rsidR="00040C77" w:rsidRPr="007B27EB" w14:paraId="3023B7AF"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A6BFE0" w14:textId="77777777" w:rsidR="00040C77" w:rsidRPr="007B27EB" w:rsidRDefault="00040C77" w:rsidP="007B27EB">
            <w:pPr>
              <w:widowControl/>
              <w:autoSpaceDE/>
              <w:autoSpaceDN/>
              <w:spacing w:before="225"/>
              <w:ind w:left="75" w:right="75"/>
              <w:rPr>
                <w:rFonts w:ascii="Verdana" w:hAnsi="Verdana"/>
                <w:color w:val="404040"/>
                <w:sz w:val="18"/>
                <w:szCs w:val="18"/>
              </w:rPr>
            </w:pPr>
            <w:r w:rsidRPr="007B27EB">
              <w:rPr>
                <w:rFonts w:ascii="Verdana" w:hAnsi="Verdana"/>
                <w:color w:val="404040"/>
                <w:sz w:val="18"/>
                <w:szCs w:val="18"/>
              </w:rPr>
              <w:t> </w:t>
            </w:r>
            <w:r w:rsidRPr="007B27EB">
              <w:rPr>
                <w:rFonts w:ascii="Verdana" w:hAnsi="Verdana"/>
                <w:color w:val="404040"/>
                <w:sz w:val="18"/>
                <w:szCs w:val="18"/>
              </w:rPr>
              <w:br/>
              <w:t>Travel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A1B9B43" w14:textId="77777777" w:rsidR="00040C77" w:rsidRPr="007B27EB" w:rsidRDefault="00040C77" w:rsidP="007B27EB">
            <w:pPr>
              <w:widowControl/>
              <w:autoSpaceDE/>
              <w:autoSpaceDN/>
              <w:spacing w:before="100" w:beforeAutospacing="1" w:after="100" w:afterAutospacing="1"/>
              <w:ind w:left="75" w:right="75"/>
              <w:rPr>
                <w:rFonts w:ascii="Verdana" w:hAnsi="Verdana"/>
                <w:color w:val="404040"/>
                <w:sz w:val="18"/>
                <w:szCs w:val="18"/>
              </w:rPr>
            </w:pPr>
            <w:r w:rsidRPr="007B27EB">
              <w:rPr>
                <w:rFonts w:ascii="Verdana" w:hAnsi="Verdana"/>
                <w:color w:val="404040"/>
                <w:sz w:val="18"/>
                <w:szCs w:val="18"/>
              </w:rPr>
              <w:t xml:space="preserve"> Travel of staff, speakers, participants, and attendees, if identified in the application and approved at the time of award. Travel expenses for employees of the recipient are governed by the recipient’s travel policies, consistently applied regardless of the source of funds. Any U.S. foreign travel restrictions that are in effect at the time of the award will be followed, such as </w:t>
            </w:r>
          </w:p>
          <w:p w14:paraId="50203D98" w14:textId="77777777" w:rsidR="00040C77" w:rsidRPr="007B27EB" w:rsidRDefault="00040C77" w:rsidP="007B27EB">
            <w:pPr>
              <w:widowControl/>
              <w:numPr>
                <w:ilvl w:val="0"/>
                <w:numId w:val="10"/>
              </w:numPr>
              <w:autoSpaceDE/>
              <w:autoSpaceDN/>
              <w:spacing w:before="100" w:beforeAutospacing="1" w:after="100" w:afterAutospacing="1"/>
              <w:ind w:left="795" w:right="75"/>
              <w:rPr>
                <w:rFonts w:ascii="Verdana" w:hAnsi="Verdana"/>
                <w:color w:val="404040"/>
                <w:sz w:val="18"/>
                <w:szCs w:val="18"/>
              </w:rPr>
            </w:pPr>
            <w:r w:rsidRPr="007B27EB">
              <w:rPr>
                <w:rFonts w:ascii="Verdana" w:hAnsi="Verdana"/>
                <w:color w:val="404040"/>
                <w:sz w:val="18"/>
                <w:szCs w:val="18"/>
              </w:rPr>
              <w:t xml:space="preserve">limitations or restrictions on countries to which travel will be supported or budgetary or         </w:t>
            </w:r>
          </w:p>
          <w:p w14:paraId="7FE7CB67" w14:textId="77777777" w:rsidR="00040C77" w:rsidRPr="007B27EB" w:rsidRDefault="00040C77" w:rsidP="007B27EB">
            <w:pPr>
              <w:widowControl/>
              <w:numPr>
                <w:ilvl w:val="0"/>
                <w:numId w:val="10"/>
              </w:numPr>
              <w:autoSpaceDE/>
              <w:autoSpaceDN/>
              <w:spacing w:before="100" w:beforeAutospacing="1" w:after="100" w:afterAutospacing="1"/>
              <w:ind w:left="795" w:right="75"/>
              <w:rPr>
                <w:rFonts w:ascii="Verdana" w:hAnsi="Verdana"/>
                <w:color w:val="404040"/>
                <w:sz w:val="18"/>
                <w:szCs w:val="18"/>
              </w:rPr>
            </w:pPr>
            <w:r w:rsidRPr="007B27EB">
              <w:rPr>
                <w:rFonts w:ascii="Verdana" w:hAnsi="Verdana"/>
                <w:color w:val="404040"/>
                <w:sz w:val="18"/>
                <w:szCs w:val="18"/>
              </w:rPr>
              <w:t>other limitations on availability of funds for foreign travel</w:t>
            </w:r>
          </w:p>
          <w:p w14:paraId="7A7330CA" w14:textId="77777777" w:rsidR="00040C77" w:rsidRPr="007B27EB" w:rsidRDefault="00040C77" w:rsidP="007B27EB">
            <w:pPr>
              <w:widowControl/>
              <w:autoSpaceDE/>
              <w:autoSpaceDN/>
              <w:spacing w:before="100" w:beforeAutospacing="1" w:after="100" w:afterAutospacing="1"/>
              <w:ind w:left="75" w:right="75"/>
              <w:rPr>
                <w:rFonts w:ascii="Verdana" w:hAnsi="Verdana"/>
                <w:color w:val="404040"/>
                <w:sz w:val="18"/>
                <w:szCs w:val="18"/>
              </w:rPr>
            </w:pPr>
            <w:r w:rsidRPr="007B27EB">
              <w:rPr>
                <w:rFonts w:ascii="Verdana" w:hAnsi="Verdana"/>
                <w:color w:val="404040"/>
                <w:sz w:val="18"/>
                <w:szCs w:val="18"/>
              </w:rPr>
              <w:t>Proposed per diem or subsistence allowances must be reasonable and limited to the days of attendance at the conference plus the actual travel time to reach the conference location by the most direct route. Local mileage costs only may be paid for local participants. Where meals and/or lodgings are furnished without charge or at a nominal cost (e.g., as part of the registration fee), the proposed per diem or subsistence allowance must take this into consideration. Transportation costs for attendees and participants at the conference may not exceed coach class fares. In all cases, U.S. flag carriers will be used where possible.</w:t>
            </w:r>
          </w:p>
        </w:tc>
      </w:tr>
    </w:tbl>
    <w:p w14:paraId="654A899E" w14:textId="77777777" w:rsidR="00040C77" w:rsidRPr="00797BDE" w:rsidRDefault="00040C77" w:rsidP="00040C77">
      <w:pPr>
        <w:pStyle w:val="c3"/>
        <w:tabs>
          <w:tab w:val="left" w:pos="5140"/>
        </w:tabs>
        <w:spacing w:line="240" w:lineRule="auto"/>
        <w:jc w:val="both"/>
      </w:pPr>
    </w:p>
    <w:p w14:paraId="778E5274" w14:textId="50743951" w:rsidR="00040C77" w:rsidRDefault="00040C77" w:rsidP="00040C77">
      <w:pPr>
        <w:pStyle w:val="c3"/>
        <w:tabs>
          <w:tab w:val="left" w:pos="5140"/>
        </w:tabs>
        <w:spacing w:line="240" w:lineRule="auto"/>
        <w:jc w:val="both"/>
      </w:pPr>
      <w:r w:rsidRPr="00797BDE">
        <w:rPr>
          <w:b/>
        </w:rPr>
        <w:t>Direct Costs:</w:t>
      </w:r>
      <w:r w:rsidRPr="00797BDE">
        <w:t xml:space="preserve"> Direct costs are those that can be identified specifically with a particular final cost objective, i.e</w:t>
      </w:r>
      <w:r w:rsidR="00FB11A1">
        <w:t>. a</w:t>
      </w:r>
      <w:r w:rsidRPr="00797BDE">
        <w:t xml:space="preserve"> particular award, project, service, or other direct activity of an organization. However, a cost may not be assigned to an award as a direct cost if any other cost incurred for the same purpose, in like circumstance, has been allocated to an award as an indirect cost. Costs identified specifically with awards are direct costs of the awards and are to be assigned directly thereto. Costs identified specifically with other final cost objectives of the organization are direct costs of those cost objectives and are not to be assigned to other awards directly or indirectly in compliance with </w:t>
      </w:r>
      <w:r w:rsidR="00C20E1B">
        <w:t xml:space="preserve">, Part 200, Super Circular, </w:t>
      </w:r>
      <w:r w:rsidR="00AC4102" w:rsidRPr="00FB11A1">
        <w:rPr>
          <w:color w:val="FF6600"/>
        </w:rPr>
        <w:t>2 CFR Part 225 and 45 CFR Part 92</w:t>
      </w:r>
      <w:r w:rsidR="00AC4102">
        <w:t xml:space="preserve"> “Cost Principles for State and Local Governments</w:t>
      </w:r>
      <w:r w:rsidR="00AC4102" w:rsidRPr="00797BDE">
        <w:t>.”</w:t>
      </w:r>
    </w:p>
    <w:p w14:paraId="29FE271A" w14:textId="77777777" w:rsidR="00470256" w:rsidRDefault="00470256" w:rsidP="00040C77">
      <w:pPr>
        <w:pStyle w:val="c3"/>
        <w:tabs>
          <w:tab w:val="left" w:pos="5140"/>
        </w:tabs>
        <w:spacing w:line="240" w:lineRule="auto"/>
        <w:jc w:val="both"/>
      </w:pPr>
    </w:p>
    <w:p w14:paraId="162EC6C5" w14:textId="28091825" w:rsidR="00470256" w:rsidRPr="00470256" w:rsidRDefault="00470256" w:rsidP="00040C77">
      <w:pPr>
        <w:pStyle w:val="c3"/>
        <w:tabs>
          <w:tab w:val="left" w:pos="5140"/>
        </w:tabs>
        <w:spacing w:line="240" w:lineRule="auto"/>
        <w:jc w:val="both"/>
      </w:pPr>
      <w:r>
        <w:rPr>
          <w:b/>
        </w:rPr>
        <w:t xml:space="preserve">Cost Allocation Percentages:  </w:t>
      </w:r>
      <w:r>
        <w:t>As referred to herein, the Head Start Director, Executive D</w:t>
      </w:r>
      <w:r w:rsidR="00DD61E6">
        <w:t xml:space="preserve">irector and Fiscal Officer will meet </w:t>
      </w:r>
      <w:r w:rsidR="004B6E5F">
        <w:t>annually</w:t>
      </w:r>
      <w:r w:rsidR="00C20E1B">
        <w:t>,</w:t>
      </w:r>
      <w:r w:rsidR="004B6E5F">
        <w:t xml:space="preserve"> </w:t>
      </w:r>
      <w:r w:rsidR="00C20E1B">
        <w:t xml:space="preserve">in August, </w:t>
      </w:r>
      <w:r w:rsidR="00DD61E6">
        <w:t xml:space="preserve">to review the number of Head Start students as compared to other students being served in the Plattsmouth Early Childhood Center.  This </w:t>
      </w:r>
      <w:r w:rsidR="00DD61E6">
        <w:lastRenderedPageBreak/>
        <w:t xml:space="preserve">percentage will then be applied to the cost allocations described in this document.  If the percentages do not increase or decrease by more than 10%, the allocation percentages will remain the same.  If they do increase or decrease by more than 10%, the allocation percentages will be adjusted </w:t>
      </w:r>
      <w:r w:rsidR="004B6E5F">
        <w:t>for that year.</w:t>
      </w:r>
    </w:p>
    <w:p w14:paraId="1B8C417F" w14:textId="77777777" w:rsidR="00040C77" w:rsidRPr="00797BDE" w:rsidRDefault="00040C77" w:rsidP="00040C77">
      <w:pPr>
        <w:pStyle w:val="c3"/>
        <w:tabs>
          <w:tab w:val="left" w:pos="5140"/>
        </w:tabs>
        <w:spacing w:line="240" w:lineRule="auto"/>
        <w:jc w:val="both"/>
      </w:pPr>
    </w:p>
    <w:p w14:paraId="6EB95503" w14:textId="528EDDDA" w:rsidR="00040C77" w:rsidRDefault="00040C77" w:rsidP="00040C77">
      <w:pPr>
        <w:pStyle w:val="c3"/>
        <w:tabs>
          <w:tab w:val="left" w:pos="5140"/>
        </w:tabs>
        <w:spacing w:line="240" w:lineRule="auto"/>
        <w:jc w:val="both"/>
      </w:pPr>
      <w:r w:rsidRPr="00470256">
        <w:rPr>
          <w:b/>
        </w:rPr>
        <w:t>Administration:</w:t>
      </w:r>
      <w:r w:rsidRPr="00797BDE">
        <w:t xml:space="preserve"> For Indirect Cost Purposes administration shall include the Executive</w:t>
      </w:r>
      <w:r w:rsidR="00A51672">
        <w:t xml:space="preserve"> Director, the Business Manager</w:t>
      </w:r>
      <w:r w:rsidR="004B6E5F">
        <w:t xml:space="preserve">, </w:t>
      </w:r>
      <w:r w:rsidR="00005CA0">
        <w:t>maintenance personnel</w:t>
      </w:r>
      <w:r w:rsidR="001C4147">
        <w:t xml:space="preserve">, </w:t>
      </w:r>
      <w:r w:rsidR="00272881">
        <w:t xml:space="preserve">and the </w:t>
      </w:r>
      <w:r w:rsidR="00005CA0">
        <w:t>t</w:t>
      </w:r>
      <w:r w:rsidR="00272881">
        <w:t xml:space="preserve">echnology </w:t>
      </w:r>
      <w:r w:rsidR="00005CA0">
        <w:t>d</w:t>
      </w:r>
      <w:r w:rsidR="001C4147">
        <w:t>epartment</w:t>
      </w:r>
      <w:r w:rsidR="00272881">
        <w:t xml:space="preserve">. </w:t>
      </w:r>
    </w:p>
    <w:p w14:paraId="00D4B745" w14:textId="700DF2F2" w:rsidR="004B6E5F" w:rsidRDefault="004B6E5F" w:rsidP="00040C77">
      <w:pPr>
        <w:pStyle w:val="c3"/>
        <w:tabs>
          <w:tab w:val="left" w:pos="5140"/>
        </w:tabs>
        <w:spacing w:line="240" w:lineRule="auto"/>
        <w:jc w:val="both"/>
      </w:pPr>
    </w:p>
    <w:p w14:paraId="56FF56EA" w14:textId="77777777" w:rsidR="00040C77" w:rsidRPr="00797BDE" w:rsidRDefault="00040C77" w:rsidP="00040C77">
      <w:pPr>
        <w:pStyle w:val="c3"/>
        <w:tabs>
          <w:tab w:val="left" w:pos="5140"/>
        </w:tabs>
        <w:spacing w:line="240" w:lineRule="auto"/>
        <w:jc w:val="left"/>
      </w:pPr>
    </w:p>
    <w:p w14:paraId="1CB62E8B" w14:textId="77777777" w:rsidR="00040C77" w:rsidRDefault="00040C77" w:rsidP="00040C7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040C77" w14:paraId="50D143F1" w14:textId="77777777">
        <w:trPr>
          <w:cantSplit/>
        </w:trPr>
        <w:tc>
          <w:tcPr>
            <w:tcW w:w="9576" w:type="dxa"/>
            <w:shd w:val="clear" w:color="auto" w:fill="C0C0C0"/>
          </w:tcPr>
          <w:p w14:paraId="142454AE" w14:textId="77777777" w:rsidR="00040C77" w:rsidRDefault="00040C77" w:rsidP="00797BDE">
            <w:pPr>
              <w:pStyle w:val="Heading3"/>
              <w:jc w:val="center"/>
            </w:pPr>
            <w:r>
              <w:t>Allocation of Costs</w:t>
            </w:r>
          </w:p>
        </w:tc>
      </w:tr>
    </w:tbl>
    <w:p w14:paraId="07285F41" w14:textId="77777777" w:rsidR="00040C77" w:rsidRDefault="00040C77" w:rsidP="00040C77">
      <w:pPr>
        <w:jc w:val="both"/>
        <w:rPr>
          <w:b/>
          <w:bCs/>
        </w:rPr>
        <w:sectPr w:rsidR="00040C77" w:rsidSect="004A6623">
          <w:headerReference w:type="default" r:id="rId7"/>
          <w:footerReference w:type="default" r:id="rId8"/>
          <w:endnotePr>
            <w:numFmt w:val="decimal"/>
          </w:endnotePr>
          <w:type w:val="continuous"/>
          <w:pgSz w:w="12240" w:h="15840"/>
          <w:pgMar w:top="1440" w:right="1440" w:bottom="576" w:left="1440" w:header="1440" w:footer="432" w:gutter="0"/>
          <w:cols w:space="720"/>
          <w:noEndnote/>
        </w:sectPr>
      </w:pPr>
    </w:p>
    <w:p w14:paraId="32DAE6E7" w14:textId="77777777" w:rsidR="00040C77" w:rsidRDefault="00040C77" w:rsidP="00040C77">
      <w:pPr>
        <w:jc w:val="both"/>
        <w:rPr>
          <w:b/>
          <w:bCs/>
        </w:rPr>
      </w:pPr>
    </w:p>
    <w:p w14:paraId="12D8FECB" w14:textId="77777777" w:rsidR="00040C77" w:rsidRPr="00797BDE" w:rsidRDefault="00040C77" w:rsidP="00040C77">
      <w:pPr>
        <w:jc w:val="both"/>
      </w:pPr>
      <w:r w:rsidRPr="00797BDE">
        <w:t xml:space="preserve">The following information summarizes the procedures that will be used by </w:t>
      </w:r>
      <w:r w:rsidRPr="00797BDE">
        <w:rPr>
          <w:iCs/>
        </w:rPr>
        <w:t xml:space="preserve">the </w:t>
      </w:r>
      <w:r w:rsidR="00F703C7">
        <w:rPr>
          <w:iCs/>
        </w:rPr>
        <w:t>Plattsmouth Community Schools</w:t>
      </w:r>
      <w:r w:rsidRPr="00797BDE">
        <w:rPr>
          <w:i/>
          <w:iCs/>
        </w:rPr>
        <w:t>:</w:t>
      </w:r>
    </w:p>
    <w:p w14:paraId="29B3612D" w14:textId="77777777" w:rsidR="00040C77" w:rsidRPr="00797BDE" w:rsidRDefault="00040C77" w:rsidP="00040C77">
      <w:pPr>
        <w:jc w:val="both"/>
      </w:pPr>
    </w:p>
    <w:p w14:paraId="61A3D45C" w14:textId="77777777" w:rsidR="00DD61E6" w:rsidRDefault="00040C77" w:rsidP="006C3C8D">
      <w:pPr>
        <w:pStyle w:val="p4"/>
        <w:spacing w:line="240" w:lineRule="auto"/>
        <w:ind w:left="720" w:firstLine="0"/>
        <w:jc w:val="both"/>
      </w:pPr>
      <w:r w:rsidRPr="00BA28DF">
        <w:rPr>
          <w:b/>
        </w:rPr>
        <w:tab/>
        <w:t>Compensation for Person</w:t>
      </w:r>
      <w:r w:rsidR="00005CA0">
        <w:rPr>
          <w:b/>
        </w:rPr>
        <w:t>ne</w:t>
      </w:r>
      <w:r w:rsidRPr="00BA28DF">
        <w:rPr>
          <w:b/>
        </w:rPr>
        <w:t>l Services</w:t>
      </w:r>
      <w:r w:rsidR="00DD61E6">
        <w:rPr>
          <w:b/>
        </w:rPr>
        <w:t xml:space="preserve"> of Head Start Director and other support personnel</w:t>
      </w:r>
      <w:r w:rsidR="006C3C8D">
        <w:rPr>
          <w:b/>
        </w:rPr>
        <w:t>, including the education coordinator</w:t>
      </w:r>
      <w:r w:rsidRPr="00797BDE">
        <w:t xml:space="preserve"> - Documented with </w:t>
      </w:r>
      <w:r w:rsidR="00500D46">
        <w:t>Person</w:t>
      </w:r>
      <w:r w:rsidR="00005CA0">
        <w:t xml:space="preserve">al </w:t>
      </w:r>
      <w:r w:rsidR="00500D46">
        <w:t>Activity Reports (PAR’s)</w:t>
      </w:r>
      <w:r w:rsidRPr="00797BDE">
        <w:t xml:space="preserve"> showing time distribution for all employees and allocated based on </w:t>
      </w:r>
      <w:r w:rsidR="00500D46">
        <w:t xml:space="preserve">actual </w:t>
      </w:r>
      <w:r w:rsidRPr="00797BDE">
        <w:t xml:space="preserve">time spent on each program or grant.  Salaries and wages are charged directly to the program for which work has been </w:t>
      </w:r>
      <w:r w:rsidR="00005CA0">
        <w:t>done.</w:t>
      </w:r>
      <w:r w:rsidRPr="00797BDE">
        <w:t xml:space="preserve">  Costs that benefit more than one program will be allocated to those programs based on the ratio </w:t>
      </w:r>
      <w:r w:rsidR="00F703C7">
        <w:t xml:space="preserve">of children </w:t>
      </w:r>
      <w:r w:rsidR="00500D46">
        <w:t xml:space="preserve">enrolled </w:t>
      </w:r>
      <w:r w:rsidR="00F703C7">
        <w:t xml:space="preserve">for Head Start to the total number of children </w:t>
      </w:r>
      <w:r w:rsidR="00500D46">
        <w:t xml:space="preserve">enrolled </w:t>
      </w:r>
      <w:r w:rsidR="00F703C7">
        <w:t>in Plattsmouth Community Schools’ Early Childhood programs</w:t>
      </w:r>
      <w:r w:rsidRPr="00797BDE">
        <w:t xml:space="preserve">. </w:t>
      </w:r>
      <w:r w:rsidR="006C3C8D">
        <w:t xml:space="preserve"> </w:t>
      </w:r>
      <w:r w:rsidRPr="00797BDE">
        <w:t xml:space="preserve">Fringe benefits </w:t>
      </w:r>
      <w:r w:rsidR="00DD61E6">
        <w:t xml:space="preserve">including </w:t>
      </w:r>
      <w:r w:rsidRPr="00797BDE">
        <w:t xml:space="preserve">FICA, </w:t>
      </w:r>
      <w:r w:rsidR="00005CA0">
        <w:t>Nebraska School Retirement</w:t>
      </w:r>
      <w:r w:rsidRPr="00797BDE">
        <w:t xml:space="preserve">, </w:t>
      </w:r>
      <w:r w:rsidR="00DD61E6">
        <w:t xml:space="preserve">health insurance, </w:t>
      </w:r>
      <w:r w:rsidR="006C3C8D">
        <w:t xml:space="preserve">sick leave, </w:t>
      </w:r>
      <w:r w:rsidR="00DD61E6">
        <w:t xml:space="preserve">and other </w:t>
      </w:r>
      <w:r w:rsidRPr="00797BDE">
        <w:t>fringe benefits are also allocated in the same manner as salaries and wages</w:t>
      </w:r>
      <w:r w:rsidR="00DD61E6">
        <w:t>.</w:t>
      </w:r>
    </w:p>
    <w:p w14:paraId="6516C588" w14:textId="77777777" w:rsidR="006C3C8D" w:rsidRDefault="006C3C8D" w:rsidP="006C3C8D">
      <w:pPr>
        <w:pStyle w:val="p4"/>
        <w:spacing w:line="240" w:lineRule="auto"/>
        <w:ind w:left="720" w:firstLine="0"/>
        <w:jc w:val="both"/>
      </w:pPr>
    </w:p>
    <w:p w14:paraId="35A4D2C4" w14:textId="77777777" w:rsidR="006C3C8D" w:rsidRPr="006C3C8D" w:rsidRDefault="006C3C8D" w:rsidP="006C3C8D">
      <w:pPr>
        <w:pStyle w:val="p4"/>
        <w:spacing w:line="240" w:lineRule="auto"/>
        <w:ind w:left="720" w:firstLine="0"/>
        <w:jc w:val="both"/>
        <w:rPr>
          <w:b/>
        </w:rPr>
      </w:pPr>
      <w:r>
        <w:rPr>
          <w:b/>
        </w:rPr>
        <w:t xml:space="preserve">Compensation for Family Service Advocates is charged off as a direct cost to the Head Start grant.  </w:t>
      </w:r>
    </w:p>
    <w:p w14:paraId="0F36734F" w14:textId="77777777" w:rsidR="00DD61E6" w:rsidRDefault="00DD61E6" w:rsidP="00DD61E6">
      <w:pPr>
        <w:pStyle w:val="Quick1"/>
        <w:numPr>
          <w:ilvl w:val="0"/>
          <w:numId w:val="0"/>
        </w:numPr>
        <w:tabs>
          <w:tab w:val="left" w:pos="-1440"/>
          <w:tab w:val="num" w:pos="2160"/>
        </w:tabs>
        <w:jc w:val="both"/>
      </w:pPr>
    </w:p>
    <w:p w14:paraId="36F269D4" w14:textId="23E06209" w:rsidR="00DD61E6" w:rsidRPr="00DD61E6" w:rsidRDefault="00DD61E6" w:rsidP="00DD61E6">
      <w:pPr>
        <w:pStyle w:val="Quick1"/>
        <w:numPr>
          <w:ilvl w:val="0"/>
          <w:numId w:val="0"/>
        </w:numPr>
        <w:tabs>
          <w:tab w:val="left" w:pos="-1440"/>
        </w:tabs>
        <w:ind w:left="720"/>
        <w:jc w:val="both"/>
      </w:pPr>
      <w:r>
        <w:rPr>
          <w:b/>
        </w:rPr>
        <w:t>Compensation for Teaching Staff</w:t>
      </w:r>
      <w:r w:rsidR="006C3C8D">
        <w:rPr>
          <w:b/>
        </w:rPr>
        <w:t>, nurse, office assistants and paraprofessionals</w:t>
      </w:r>
      <w:r>
        <w:rPr>
          <w:b/>
        </w:rPr>
        <w:t xml:space="preserve">– </w:t>
      </w:r>
      <w:r w:rsidR="006C3C8D">
        <w:t>Teachers and support staff</w:t>
      </w:r>
      <w:r>
        <w:t xml:space="preserve"> in the Plattsmouth Early Childhood Center are required to submit semi-annual certifications detailing their duties for each semester. </w:t>
      </w:r>
      <w:r w:rsidR="004B6E5F">
        <w:t xml:space="preserve"> T</w:t>
      </w:r>
      <w:r>
        <w:t xml:space="preserve">he cost allocation percentages are used to calculate salary and benefit costs to each program being served. </w:t>
      </w:r>
      <w:r w:rsidR="004B6E5F">
        <w:t xml:space="preserve">The Head Start classroom at </w:t>
      </w:r>
      <w:r>
        <w:t>Conestoga Schools</w:t>
      </w:r>
      <w:r w:rsidR="004B6E5F">
        <w:t xml:space="preserve"> includes only Head</w:t>
      </w:r>
      <w:r>
        <w:t xml:space="preserve"> Start students, and the personnel costs are charged directly to the Head Start program.  </w:t>
      </w:r>
    </w:p>
    <w:p w14:paraId="0CD2B27A" w14:textId="77777777" w:rsidR="00040C77" w:rsidRDefault="00040C77" w:rsidP="00040C77">
      <w:pPr>
        <w:jc w:val="both"/>
      </w:pPr>
    </w:p>
    <w:p w14:paraId="0A15983D" w14:textId="77777777" w:rsidR="00040C77" w:rsidRPr="00797BDE" w:rsidRDefault="00040C77" w:rsidP="00040C77">
      <w:pPr>
        <w:pStyle w:val="QuickA"/>
        <w:numPr>
          <w:ilvl w:val="0"/>
          <w:numId w:val="0"/>
        </w:numPr>
        <w:tabs>
          <w:tab w:val="left" w:pos="-1440"/>
        </w:tabs>
        <w:ind w:left="720"/>
        <w:jc w:val="both"/>
      </w:pPr>
      <w:r w:rsidRPr="00BA28DF">
        <w:rPr>
          <w:b/>
        </w:rPr>
        <w:t>Travel Costs</w:t>
      </w:r>
      <w:r w:rsidRPr="00797BDE">
        <w:t xml:space="preserve"> are allocated based on purpose of travel.  All travel costs (local and out-of-town) are charged directly to the program for which the travel was incurred.</w:t>
      </w:r>
      <w:r w:rsidRPr="009F4965">
        <w:rPr>
          <w:color w:val="FF00FF"/>
        </w:rPr>
        <w:t xml:space="preserve">  </w:t>
      </w:r>
      <w:r>
        <w:t xml:space="preserve"> In the case of dual</w:t>
      </w:r>
      <w:r w:rsidRPr="0016167A">
        <w:t xml:space="preserve"> or multiple</w:t>
      </w:r>
      <w:r>
        <w:t xml:space="preserve"> </w:t>
      </w:r>
      <w:r w:rsidRPr="0016167A">
        <w:t xml:space="preserve">purpose trips, the costs are split proportionately </w:t>
      </w:r>
      <w:r w:rsidR="005F30B1">
        <w:t xml:space="preserve">based on </w:t>
      </w:r>
      <w:r w:rsidR="0018194E">
        <w:t>review of cost allocation percentages (number of children enrolled in Head Start compared with number of children enrolled in other early childhood programs).</w:t>
      </w:r>
    </w:p>
    <w:p w14:paraId="797E0C30" w14:textId="77777777" w:rsidR="00040C77" w:rsidRPr="00797BDE" w:rsidRDefault="00040C77" w:rsidP="00040C77">
      <w:pPr>
        <w:pStyle w:val="QuickA"/>
        <w:numPr>
          <w:ilvl w:val="0"/>
          <w:numId w:val="0"/>
        </w:numPr>
        <w:tabs>
          <w:tab w:val="left" w:pos="-1440"/>
        </w:tabs>
        <w:ind w:left="720"/>
        <w:jc w:val="both"/>
      </w:pPr>
    </w:p>
    <w:p w14:paraId="73A677D5" w14:textId="77777777" w:rsidR="00040C77" w:rsidRDefault="00040C77" w:rsidP="00040C77">
      <w:pPr>
        <w:pStyle w:val="QuickA"/>
        <w:numPr>
          <w:ilvl w:val="0"/>
          <w:numId w:val="0"/>
        </w:numPr>
        <w:tabs>
          <w:tab w:val="left" w:pos="-1440"/>
        </w:tabs>
        <w:ind w:left="720"/>
        <w:jc w:val="both"/>
      </w:pPr>
      <w:r w:rsidRPr="00BA28DF">
        <w:rPr>
          <w:b/>
        </w:rPr>
        <w:t xml:space="preserve">Professional Services Costs </w:t>
      </w:r>
      <w:r w:rsidRPr="00797BDE">
        <w:t xml:space="preserve">(such as consultants) are allocated to the program benefiting from the service.  All professional service costs are charged directly to the program for which the service was incurred.  Costs that benefit all programs will be allocated by the </w:t>
      </w:r>
      <w:r w:rsidR="0018194E">
        <w:t xml:space="preserve">cost allocation percentages established by the Head Start Director and Fiscal Officer. </w:t>
      </w:r>
      <w:r w:rsidRPr="00797BDE">
        <w:t xml:space="preserve"> Accounting and auditing services </w:t>
      </w:r>
      <w:r w:rsidR="0018194E">
        <w:t>determined using the same cost allocation analysis.</w:t>
      </w:r>
    </w:p>
    <w:p w14:paraId="545023E2" w14:textId="77777777" w:rsidR="0018194E" w:rsidRPr="00797BDE" w:rsidRDefault="0018194E" w:rsidP="00040C77">
      <w:pPr>
        <w:pStyle w:val="QuickA"/>
        <w:numPr>
          <w:ilvl w:val="0"/>
          <w:numId w:val="0"/>
        </w:numPr>
        <w:tabs>
          <w:tab w:val="left" w:pos="-1440"/>
        </w:tabs>
        <w:ind w:left="720"/>
        <w:jc w:val="both"/>
      </w:pPr>
    </w:p>
    <w:p w14:paraId="217D7889" w14:textId="77777777" w:rsidR="00040C77" w:rsidRPr="00797BDE" w:rsidRDefault="00040C77" w:rsidP="00040C77">
      <w:pPr>
        <w:pStyle w:val="QuickA"/>
        <w:numPr>
          <w:ilvl w:val="0"/>
          <w:numId w:val="0"/>
        </w:numPr>
        <w:tabs>
          <w:tab w:val="left" w:pos="-1440"/>
        </w:tabs>
        <w:ind w:left="720"/>
        <w:jc w:val="both"/>
      </w:pPr>
      <w:r w:rsidRPr="00BA28DF">
        <w:rPr>
          <w:b/>
        </w:rPr>
        <w:t xml:space="preserve">Office Supplies and Postage </w:t>
      </w:r>
      <w:r w:rsidR="0018194E">
        <w:t>–</w:t>
      </w:r>
      <w:r w:rsidRPr="00797BDE">
        <w:t xml:space="preserve"> </w:t>
      </w:r>
      <w:r w:rsidR="0018194E">
        <w:t>Postage costs are an in kind contribution by the school district to the early childhood program, based on the cost allocation percentages.</w:t>
      </w:r>
      <w:r w:rsidRPr="00797BDE">
        <w:t xml:space="preserve">  </w:t>
      </w:r>
      <w:r w:rsidR="0018194E">
        <w:t xml:space="preserve">Supplies </w:t>
      </w:r>
      <w:r w:rsidRPr="00797BDE">
        <w:t>used for a specific program will be c</w:t>
      </w:r>
      <w:r w:rsidR="0013502B">
        <w:t>harged directly to that program</w:t>
      </w:r>
      <w:r w:rsidRPr="00797BDE">
        <w:t xml:space="preserve">. </w:t>
      </w:r>
      <w:r w:rsidR="0018194E">
        <w:t xml:space="preserve">Supplies used for multiple programs will be allocated using the cost </w:t>
      </w:r>
      <w:r w:rsidR="0018194E">
        <w:lastRenderedPageBreak/>
        <w:t xml:space="preserve">allocation percentages in place.  </w:t>
      </w:r>
    </w:p>
    <w:p w14:paraId="6585D4AB" w14:textId="77777777" w:rsidR="00040C77" w:rsidRPr="00797BDE" w:rsidRDefault="00040C77" w:rsidP="00040C77">
      <w:pPr>
        <w:pStyle w:val="QuickA"/>
        <w:numPr>
          <w:ilvl w:val="0"/>
          <w:numId w:val="0"/>
        </w:numPr>
        <w:tabs>
          <w:tab w:val="left" w:pos="-1440"/>
        </w:tabs>
        <w:jc w:val="both"/>
      </w:pPr>
    </w:p>
    <w:p w14:paraId="5A3C871A" w14:textId="77777777" w:rsidR="00040C77" w:rsidRPr="00BA28DF" w:rsidRDefault="00040C77" w:rsidP="00040C77">
      <w:pPr>
        <w:pStyle w:val="QuickA"/>
        <w:numPr>
          <w:ilvl w:val="0"/>
          <w:numId w:val="0"/>
        </w:numPr>
        <w:tabs>
          <w:tab w:val="left" w:pos="-1440"/>
        </w:tabs>
        <w:ind w:left="720"/>
        <w:jc w:val="both"/>
      </w:pPr>
      <w:r w:rsidRPr="00BA28DF">
        <w:rPr>
          <w:b/>
        </w:rPr>
        <w:t xml:space="preserve">Equipment </w:t>
      </w:r>
      <w:r w:rsidRPr="00BA28DF">
        <w:t xml:space="preserve">– </w:t>
      </w:r>
      <w:r w:rsidR="00F703C7">
        <w:rPr>
          <w:iCs/>
        </w:rPr>
        <w:t>Plattsmouth Community Schools</w:t>
      </w:r>
      <w:r w:rsidRPr="00BA28DF">
        <w:t xml:space="preserve"> depreciates equipment when the initial acquisition cost exceeds $5,000.  Items below $5,000 are reflected in the supplies categories and are expensed </w:t>
      </w:r>
      <w:r w:rsidR="0018194E">
        <w:t>either as a direct cost to each program, if applicable, or allocated using the cost allocation percentages.</w:t>
      </w:r>
    </w:p>
    <w:p w14:paraId="5F17C842" w14:textId="77777777" w:rsidR="00040C77" w:rsidRDefault="00040C77" w:rsidP="00040C77">
      <w:pPr>
        <w:jc w:val="both"/>
      </w:pPr>
    </w:p>
    <w:p w14:paraId="47E41A24" w14:textId="61FA0D82" w:rsidR="00040C77" w:rsidRDefault="00040C77" w:rsidP="004B6E5F">
      <w:pPr>
        <w:pStyle w:val="QuickA"/>
        <w:numPr>
          <w:ilvl w:val="0"/>
          <w:numId w:val="0"/>
        </w:numPr>
        <w:tabs>
          <w:tab w:val="left" w:pos="-1440"/>
        </w:tabs>
        <w:ind w:left="720"/>
        <w:jc w:val="both"/>
      </w:pPr>
      <w:r w:rsidRPr="00BA28DF">
        <w:rPr>
          <w:b/>
        </w:rPr>
        <w:t>Printing (</w:t>
      </w:r>
      <w:r w:rsidRPr="00BA28DF">
        <w:t xml:space="preserve">including supplies, maintenance and repair) </w:t>
      </w:r>
      <w:r w:rsidR="0018194E">
        <w:t>–</w:t>
      </w:r>
      <w:r w:rsidRPr="00BA28DF">
        <w:t xml:space="preserve"> </w:t>
      </w:r>
      <w:r w:rsidR="004B6E5F">
        <w:t xml:space="preserve">The copier lease and maintenance agreement costs at the early childhood center are allocated costs, using the allocation percentages to determine costs attributed to each program utilizing the copier.  </w:t>
      </w:r>
    </w:p>
    <w:p w14:paraId="2114407E" w14:textId="77777777" w:rsidR="004B6E5F" w:rsidRPr="00BA28DF" w:rsidRDefault="004B6E5F" w:rsidP="004B6E5F">
      <w:pPr>
        <w:pStyle w:val="QuickA"/>
        <w:numPr>
          <w:ilvl w:val="0"/>
          <w:numId w:val="0"/>
        </w:numPr>
        <w:tabs>
          <w:tab w:val="left" w:pos="-1440"/>
        </w:tabs>
        <w:ind w:left="720"/>
        <w:jc w:val="both"/>
      </w:pPr>
    </w:p>
    <w:p w14:paraId="14CBC18E" w14:textId="7B5E43CF" w:rsidR="00040C77" w:rsidRDefault="00040C77" w:rsidP="005949D7">
      <w:pPr>
        <w:pStyle w:val="QuickA"/>
        <w:numPr>
          <w:ilvl w:val="0"/>
          <w:numId w:val="0"/>
        </w:numPr>
        <w:tabs>
          <w:tab w:val="left" w:pos="-1440"/>
        </w:tabs>
        <w:ind w:left="720"/>
        <w:jc w:val="both"/>
      </w:pPr>
      <w:r w:rsidRPr="00BA28DF">
        <w:rPr>
          <w:b/>
        </w:rPr>
        <w:t>Insurance</w:t>
      </w:r>
      <w:r w:rsidRPr="00BA28DF">
        <w:t xml:space="preserve"> </w:t>
      </w:r>
      <w:r w:rsidR="0018194E">
        <w:t>–</w:t>
      </w:r>
      <w:r w:rsidRPr="00BA28DF">
        <w:t xml:space="preserve"> </w:t>
      </w:r>
      <w:r w:rsidR="005949D7">
        <w:t xml:space="preserve">Liability, workers comp and automobile insurance is also a non-federal contribution to the early childhood programs, using </w:t>
      </w:r>
      <w:r w:rsidR="00C20E1B">
        <w:t>square footage of the building and appropriate usage of each space</w:t>
      </w:r>
      <w:r w:rsidR="005949D7">
        <w:t xml:space="preserve"> as a basis for determination of the non-federal share</w:t>
      </w:r>
      <w:r w:rsidR="00C20E1B">
        <w:t xml:space="preserve"> as it relates to buildings and contents, and enrollment as the allocation basis for student liability</w:t>
      </w:r>
      <w:r w:rsidR="005949D7">
        <w:t xml:space="preserve">.  </w:t>
      </w:r>
    </w:p>
    <w:p w14:paraId="67CD1C55" w14:textId="77777777" w:rsidR="005949D7" w:rsidRPr="00BA28DF" w:rsidRDefault="005949D7" w:rsidP="005949D7">
      <w:pPr>
        <w:pStyle w:val="QuickA"/>
        <w:numPr>
          <w:ilvl w:val="0"/>
          <w:numId w:val="0"/>
        </w:numPr>
        <w:tabs>
          <w:tab w:val="left" w:pos="-1440"/>
        </w:tabs>
        <w:ind w:left="720"/>
        <w:jc w:val="both"/>
      </w:pPr>
    </w:p>
    <w:p w14:paraId="42C4C81D" w14:textId="71DBCD8D" w:rsidR="00AE5B0B" w:rsidRPr="0016167A" w:rsidRDefault="00040C77" w:rsidP="00AE5B0B">
      <w:pPr>
        <w:pStyle w:val="p4"/>
        <w:spacing w:line="240" w:lineRule="auto"/>
        <w:ind w:left="720" w:firstLine="0"/>
        <w:jc w:val="both"/>
      </w:pPr>
      <w:r w:rsidRPr="00BA28DF">
        <w:rPr>
          <w:b/>
        </w:rPr>
        <w:t>Telephone/Communications</w:t>
      </w:r>
      <w:r w:rsidRPr="00BA28DF">
        <w:t xml:space="preserve"> </w:t>
      </w:r>
      <w:r w:rsidR="00AE5B0B">
        <w:t>–</w:t>
      </w:r>
      <w:r w:rsidRPr="009F4965">
        <w:rPr>
          <w:color w:val="FF00FF"/>
        </w:rPr>
        <w:t xml:space="preserve"> </w:t>
      </w:r>
      <w:r w:rsidR="00AE5B0B">
        <w:t>Costs are allocated to</w:t>
      </w:r>
      <w:r w:rsidR="00AE5B0B" w:rsidRPr="00797BDE">
        <w:t xml:space="preserve"> programs based </w:t>
      </w:r>
      <w:r w:rsidR="00C20E1B">
        <w:t>on employee counts in each program housed in the early childhood center.</w:t>
      </w:r>
      <w:r w:rsidR="00AE5B0B" w:rsidRPr="00797BDE">
        <w:t xml:space="preserve"> </w:t>
      </w:r>
      <w:r w:rsidR="00C944BC">
        <w:t xml:space="preserve"> Twenty-five percent of </w:t>
      </w:r>
      <w:r w:rsidR="005949D7">
        <w:t xml:space="preserve">the </w:t>
      </w:r>
      <w:r w:rsidR="00C944BC">
        <w:t xml:space="preserve">Head Start </w:t>
      </w:r>
      <w:r w:rsidR="005949D7">
        <w:t xml:space="preserve">share of </w:t>
      </w:r>
      <w:r w:rsidR="00C944BC">
        <w:t xml:space="preserve">phone costs are allocated to Head Start Administration based on past usage history.  </w:t>
      </w:r>
      <w:r w:rsidR="005949D7">
        <w:t>This percentage is</w:t>
      </w:r>
      <w:r w:rsidR="00C944BC">
        <w:t xml:space="preserve"> reviewed annually and adjusted as </w:t>
      </w:r>
      <w:r w:rsidR="005949D7">
        <w:t>appropriate.</w:t>
      </w:r>
      <w:r w:rsidR="006C3C8D">
        <w:t xml:space="preserve">  </w:t>
      </w:r>
      <w:r w:rsidR="00C20E1B">
        <w:t>One cell phone is used exclusively for the extended care program, which will be a tuition based program beginning in August, 2017.  The cost for that cell phone will be charged off against the tuition payments received for that program.</w:t>
      </w:r>
      <w:r w:rsidR="006C3C8D">
        <w:t xml:space="preserve">  </w:t>
      </w:r>
    </w:p>
    <w:p w14:paraId="123DD535" w14:textId="77777777" w:rsidR="00040C77" w:rsidRPr="00BA28DF" w:rsidRDefault="00040C77" w:rsidP="00AE5B0B">
      <w:pPr>
        <w:pStyle w:val="QuickA"/>
        <w:numPr>
          <w:ilvl w:val="0"/>
          <w:numId w:val="0"/>
        </w:numPr>
        <w:tabs>
          <w:tab w:val="left" w:pos="-1440"/>
        </w:tabs>
        <w:ind w:left="720"/>
        <w:jc w:val="both"/>
      </w:pPr>
    </w:p>
    <w:p w14:paraId="69290F78" w14:textId="18699D6D" w:rsidR="00537FB4" w:rsidRPr="0016167A" w:rsidRDefault="00040C77" w:rsidP="00140173">
      <w:pPr>
        <w:pStyle w:val="p4"/>
        <w:spacing w:line="240" w:lineRule="auto"/>
        <w:ind w:left="720" w:firstLine="0"/>
        <w:jc w:val="both"/>
      </w:pPr>
      <w:r w:rsidRPr="00BA28DF">
        <w:rPr>
          <w:b/>
        </w:rPr>
        <w:t>Facilities Expenses</w:t>
      </w:r>
      <w:r w:rsidRPr="00BA28DF">
        <w:t xml:space="preserve"> </w:t>
      </w:r>
      <w:r w:rsidR="00140173">
        <w:t xml:space="preserve"> - </w:t>
      </w:r>
      <w:r w:rsidR="005949D7">
        <w:t>Use of the Conestoga Head Start location is a non-federal contribution to the Head Start program, based on a rental agreement wi</w:t>
      </w:r>
      <w:r w:rsidR="00470256">
        <w:t>th the Conestoga Public Schools, as well as an appraisal done on the space.</w:t>
      </w:r>
      <w:r w:rsidR="005949D7">
        <w:t xml:space="preserve">  The Plattsmouth Early Childhood center is also an in kind contribution to the early childhood program, but is not in</w:t>
      </w:r>
      <w:r w:rsidR="00470256">
        <w:t xml:space="preserve">cluded in the non-Federal share. </w:t>
      </w:r>
      <w:r w:rsidR="006C3C8D">
        <w:t xml:space="preserve"> Utility costs are charged based </w:t>
      </w:r>
      <w:r w:rsidR="00C20E1B">
        <w:t xml:space="preserve">square footage of each space according to the program occupying said space. </w:t>
      </w:r>
      <w:r w:rsidR="006C3C8D">
        <w:t xml:space="preserve">  </w:t>
      </w:r>
      <w:r w:rsidR="00C20E1B">
        <w:t xml:space="preserve">In integrated classrooms, the student allocation percentages are used to determine appropriate cost. </w:t>
      </w:r>
      <w:r w:rsidR="006C3C8D">
        <w:t xml:space="preserve">Administrative cost for facilities is determined to be 5% based on the square footage on the building used exclusively for administrative office spaces.  </w:t>
      </w:r>
    </w:p>
    <w:p w14:paraId="674357CA" w14:textId="77777777" w:rsidR="00040C77" w:rsidRPr="00BA28DF" w:rsidRDefault="00040C77" w:rsidP="00537FB4">
      <w:pPr>
        <w:pStyle w:val="p4"/>
        <w:spacing w:line="240" w:lineRule="auto"/>
        <w:ind w:left="720" w:firstLine="0"/>
        <w:jc w:val="both"/>
      </w:pPr>
    </w:p>
    <w:p w14:paraId="1D8BE17D" w14:textId="77777777" w:rsidR="00040C77" w:rsidRPr="00AD3DCE" w:rsidRDefault="00040C77" w:rsidP="00040C77">
      <w:pPr>
        <w:pStyle w:val="QuickA"/>
        <w:numPr>
          <w:ilvl w:val="0"/>
          <w:numId w:val="0"/>
        </w:numPr>
        <w:tabs>
          <w:tab w:val="left" w:pos="-1440"/>
        </w:tabs>
        <w:ind w:left="720"/>
        <w:jc w:val="both"/>
      </w:pPr>
      <w:r w:rsidRPr="00BA28DF">
        <w:rPr>
          <w:b/>
        </w:rPr>
        <w:t>Training/Conferences/Seminars</w:t>
      </w:r>
      <w:r w:rsidRPr="00BA28DF">
        <w:t xml:space="preserve"> – Allocated to the program benefiting from the training, conferences or seminars as a direct expense</w:t>
      </w:r>
      <w:r>
        <w:t>. In the case of dual</w:t>
      </w:r>
      <w:r w:rsidRPr="0016167A">
        <w:t xml:space="preserve"> or multiple</w:t>
      </w:r>
      <w:r>
        <w:t xml:space="preserve"> </w:t>
      </w:r>
      <w:r w:rsidRPr="0016167A">
        <w:t xml:space="preserve">purpose trips, the costs are split </w:t>
      </w:r>
      <w:r w:rsidR="00470256">
        <w:t>based on the cost allocation percentages among t</w:t>
      </w:r>
      <w:r w:rsidRPr="0016167A">
        <w:t xml:space="preserve">he programs for which the travel was </w:t>
      </w:r>
      <w:bookmarkStart w:id="1" w:name="OLE_LINK2"/>
      <w:r w:rsidR="00470256">
        <w:t>necessary.</w:t>
      </w:r>
    </w:p>
    <w:bookmarkEnd w:id="1"/>
    <w:p w14:paraId="1A562A9D" w14:textId="77777777" w:rsidR="00040C77" w:rsidRPr="00BA28DF" w:rsidRDefault="00040C77" w:rsidP="00040C77">
      <w:pPr>
        <w:jc w:val="both"/>
      </w:pPr>
    </w:p>
    <w:p w14:paraId="76AD9755" w14:textId="77777777" w:rsidR="00140173" w:rsidRDefault="00040C77" w:rsidP="00040C77">
      <w:pPr>
        <w:pStyle w:val="QuickA"/>
        <w:numPr>
          <w:ilvl w:val="0"/>
          <w:numId w:val="0"/>
        </w:numPr>
        <w:tabs>
          <w:tab w:val="left" w:pos="-1440"/>
        </w:tabs>
        <w:ind w:left="720"/>
        <w:jc w:val="both"/>
      </w:pPr>
      <w:r w:rsidRPr="00BA28DF">
        <w:rPr>
          <w:b/>
        </w:rPr>
        <w:t>Other Costs</w:t>
      </w:r>
      <w:r w:rsidRPr="009F4965">
        <w:t xml:space="preserve"> (including dues, licenses, fees, etc.) - </w:t>
      </w:r>
      <w:r w:rsidRPr="0016167A">
        <w:t>Any expenses that can not be direct charged wi</w:t>
      </w:r>
      <w:r w:rsidR="00470256">
        <w:t>ll be allocated based on the cost allocation percentages as established.</w:t>
      </w:r>
    </w:p>
    <w:p w14:paraId="7C9390F6" w14:textId="77777777" w:rsidR="00470256" w:rsidRDefault="00470256" w:rsidP="00040C77">
      <w:pPr>
        <w:pStyle w:val="QuickA"/>
        <w:numPr>
          <w:ilvl w:val="0"/>
          <w:numId w:val="0"/>
        </w:numPr>
        <w:tabs>
          <w:tab w:val="left" w:pos="-1440"/>
        </w:tabs>
        <w:ind w:left="720"/>
        <w:jc w:val="both"/>
      </w:pPr>
    </w:p>
    <w:p w14:paraId="442D1B96" w14:textId="26C9142C" w:rsidR="00040C77" w:rsidRPr="00140173" w:rsidRDefault="00140173" w:rsidP="00470256">
      <w:pPr>
        <w:pStyle w:val="c3"/>
        <w:tabs>
          <w:tab w:val="left" w:pos="5140"/>
        </w:tabs>
        <w:spacing w:line="240" w:lineRule="auto"/>
        <w:ind w:left="720"/>
        <w:jc w:val="both"/>
        <w:rPr>
          <w:b/>
        </w:rPr>
      </w:pPr>
      <w:r w:rsidRPr="00140173">
        <w:rPr>
          <w:b/>
        </w:rPr>
        <w:t>Administration Costs</w:t>
      </w:r>
      <w:r w:rsidR="00F8310F">
        <w:rPr>
          <w:b/>
        </w:rPr>
        <w:t xml:space="preserve"> – </w:t>
      </w:r>
      <w:r w:rsidR="00F8310F" w:rsidRPr="00F8310F">
        <w:t>Administration</w:t>
      </w:r>
      <w:r w:rsidR="00F8310F">
        <w:t xml:space="preserve"> costs include a percentage of the salary and benefits of the </w:t>
      </w:r>
      <w:r w:rsidR="00B06825">
        <w:t>Plattsmouth Early Childhood Center</w:t>
      </w:r>
      <w:r w:rsidR="00F8310F">
        <w:t xml:space="preserve"> director </w:t>
      </w:r>
      <w:r w:rsidR="00470256">
        <w:t xml:space="preserve">and </w:t>
      </w:r>
      <w:r w:rsidR="00C20E1B">
        <w:t>Administrative Assistants,</w:t>
      </w:r>
      <w:r w:rsidR="00470256">
        <w:t xml:space="preserve"> </w:t>
      </w:r>
      <w:r w:rsidR="00F8310F">
        <w:t>based</w:t>
      </w:r>
      <w:r w:rsidR="00F8310F" w:rsidRPr="00BA28DF">
        <w:t xml:space="preserve"> </w:t>
      </w:r>
      <w:r w:rsidR="00F8310F" w:rsidRPr="00797BDE">
        <w:t xml:space="preserve">on the </w:t>
      </w:r>
      <w:r w:rsidR="00470256">
        <w:t>cost allocation percentages.   S</w:t>
      </w:r>
      <w:r w:rsidR="00B06825">
        <w:t xml:space="preserve">ervices of </w:t>
      </w:r>
      <w:r w:rsidR="00470256">
        <w:t xml:space="preserve">the </w:t>
      </w:r>
      <w:r w:rsidR="00B06825" w:rsidRPr="00797BDE">
        <w:t>Executive</w:t>
      </w:r>
      <w:r w:rsidR="00B06825">
        <w:t xml:space="preserve"> Director, the Business Manager,</w:t>
      </w:r>
      <w:r w:rsidR="00B06825" w:rsidRPr="00797BDE">
        <w:t xml:space="preserve"> </w:t>
      </w:r>
      <w:r w:rsidR="00470256">
        <w:t xml:space="preserve">maintenance and technology personnel are considered administrative costs and are part of the non-federal contribution to Head Start.  </w:t>
      </w:r>
    </w:p>
    <w:p w14:paraId="11882AD4" w14:textId="77777777" w:rsidR="00040C77" w:rsidRPr="00BA28DF" w:rsidRDefault="00040C77" w:rsidP="00040C77">
      <w:pPr>
        <w:jc w:val="both"/>
      </w:pPr>
    </w:p>
    <w:p w14:paraId="2FDFB89F" w14:textId="26EC59BB" w:rsidR="00040C77" w:rsidRDefault="00040C77" w:rsidP="00040C77">
      <w:pPr>
        <w:pStyle w:val="QuickA"/>
        <w:numPr>
          <w:ilvl w:val="0"/>
          <w:numId w:val="0"/>
        </w:numPr>
        <w:tabs>
          <w:tab w:val="left" w:pos="-1440"/>
        </w:tabs>
        <w:ind w:left="720"/>
        <w:jc w:val="both"/>
      </w:pPr>
      <w:r w:rsidRPr="00BA28DF">
        <w:rPr>
          <w:b/>
        </w:rPr>
        <w:t>Unallowable Costs</w:t>
      </w:r>
      <w:r w:rsidRPr="00BA28DF">
        <w:t xml:space="preserve"> – Costs that are unallowable in accordance with </w:t>
      </w:r>
      <w:r w:rsidRPr="00470256">
        <w:rPr>
          <w:color w:val="FF6600"/>
        </w:rPr>
        <w:t>OMB Circular A-122,</w:t>
      </w:r>
      <w:r w:rsidRPr="00BA28DF">
        <w:t xml:space="preserve"> including alcoholic beverages, bad debts, </w:t>
      </w:r>
      <w:r w:rsidR="00C20E1B">
        <w:t xml:space="preserve">advertising for non-allowable purposes, </w:t>
      </w:r>
      <w:r w:rsidRPr="00BA28DF">
        <w:t>contributions, entertainment, fines and penalties will not be paid out of grant funds.</w:t>
      </w:r>
    </w:p>
    <w:p w14:paraId="59F61152" w14:textId="77777777" w:rsidR="00C20E1B" w:rsidRDefault="00C20E1B" w:rsidP="00040C77">
      <w:pPr>
        <w:pStyle w:val="QuickA"/>
        <w:numPr>
          <w:ilvl w:val="0"/>
          <w:numId w:val="0"/>
        </w:numPr>
        <w:tabs>
          <w:tab w:val="left" w:pos="-1440"/>
        </w:tabs>
        <w:ind w:left="720"/>
        <w:jc w:val="both"/>
      </w:pPr>
    </w:p>
    <w:p w14:paraId="2DC5594B" w14:textId="77777777" w:rsidR="00C20E1B" w:rsidRPr="004B6E5F" w:rsidRDefault="00C20E1B" w:rsidP="00C20E1B">
      <w:pPr>
        <w:pStyle w:val="c3"/>
        <w:tabs>
          <w:tab w:val="left" w:pos="5140"/>
        </w:tabs>
        <w:spacing w:line="240" w:lineRule="auto"/>
        <w:jc w:val="both"/>
      </w:pPr>
      <w:r>
        <w:rPr>
          <w:b/>
        </w:rPr>
        <w:t xml:space="preserve">Head Start/Early Head Start:  </w:t>
      </w:r>
      <w:r>
        <w:t xml:space="preserve">In addition to the allocation percentages discussed herein, the costs allocated to the Head Start program are further allocated within Head Start and Early Head Start programs.  Direct costs for both Early Head Start and Head Start are charged if the supply or service is determined to be directly related to each program.  If a service or supply is to be used by both programs, further allocation is performed based on the number of children being served in Head Start versus the number of children being served in Early Head Start.  </w:t>
      </w:r>
    </w:p>
    <w:p w14:paraId="5003684E" w14:textId="77777777" w:rsidR="00C20E1B" w:rsidRPr="00BA28DF" w:rsidRDefault="00C20E1B" w:rsidP="00040C77">
      <w:pPr>
        <w:pStyle w:val="QuickA"/>
        <w:numPr>
          <w:ilvl w:val="0"/>
          <w:numId w:val="0"/>
        </w:numPr>
        <w:tabs>
          <w:tab w:val="left" w:pos="-1440"/>
        </w:tabs>
        <w:ind w:left="720"/>
        <w:jc w:val="both"/>
      </w:pPr>
    </w:p>
    <w:p w14:paraId="34BA68AE" w14:textId="77777777" w:rsidR="00040C77" w:rsidRPr="009F4965" w:rsidRDefault="00040C77" w:rsidP="00040C77">
      <w:pPr>
        <w:pStyle w:val="c3"/>
        <w:tabs>
          <w:tab w:val="left" w:pos="5140"/>
        </w:tabs>
        <w:spacing w:line="240" w:lineRule="auto"/>
        <w:jc w:val="left"/>
        <w:rPr>
          <w:color w:val="FF00FF"/>
          <w:u w:val="single"/>
        </w:rPr>
      </w:pPr>
    </w:p>
    <w:p w14:paraId="6E4EA889" w14:textId="77777777" w:rsidR="00040C77" w:rsidRPr="00BA28DF" w:rsidRDefault="00040C77" w:rsidP="00040C77">
      <w:pPr>
        <w:pStyle w:val="c3"/>
        <w:tabs>
          <w:tab w:val="left" w:pos="5140"/>
        </w:tabs>
        <w:spacing w:line="240" w:lineRule="auto"/>
        <w:rPr>
          <w:u w:val="single"/>
        </w:rPr>
      </w:pPr>
    </w:p>
    <w:p w14:paraId="5AA47AFE" w14:textId="77777777" w:rsidR="00040C77" w:rsidRDefault="00040C77" w:rsidP="00040C7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1078"/>
      </w:tblGrid>
      <w:tr w:rsidR="00040C77" w14:paraId="2A1A7ADD" w14:textId="77777777">
        <w:tc>
          <w:tcPr>
            <w:tcW w:w="11178" w:type="dxa"/>
            <w:tcBorders>
              <w:top w:val="single" w:sz="4" w:space="0" w:color="auto"/>
              <w:left w:val="single" w:sz="4" w:space="0" w:color="auto"/>
              <w:bottom w:val="single" w:sz="4" w:space="0" w:color="auto"/>
              <w:right w:val="single" w:sz="4" w:space="0" w:color="auto"/>
            </w:tcBorders>
            <w:shd w:val="clear" w:color="auto" w:fill="C0C0C0"/>
          </w:tcPr>
          <w:p w14:paraId="730F396A" w14:textId="77777777" w:rsidR="00040C77" w:rsidRDefault="00682406" w:rsidP="009A1BEF">
            <w:pPr>
              <w:pStyle w:val="Heading1"/>
              <w:tabs>
                <w:tab w:val="left" w:pos="973"/>
                <w:tab w:val="center" w:pos="5481"/>
              </w:tabs>
              <w:rPr>
                <w:sz w:val="32"/>
                <w:u w:val="none"/>
              </w:rPr>
            </w:pPr>
            <w:r>
              <w:rPr>
                <w:sz w:val="32"/>
                <w:u w:val="none"/>
              </w:rPr>
              <w:t>Board of Education</w:t>
            </w:r>
            <w:r w:rsidR="00040C77">
              <w:rPr>
                <w:sz w:val="32"/>
                <w:u w:val="none"/>
              </w:rPr>
              <w:t xml:space="preserve"> Approval &amp; Review</w:t>
            </w:r>
          </w:p>
        </w:tc>
      </w:tr>
    </w:tbl>
    <w:p w14:paraId="54E844BA" w14:textId="77777777" w:rsidR="00040C77" w:rsidRPr="0016167A" w:rsidRDefault="009A1BEF" w:rsidP="00040C77">
      <w:pPr>
        <w:pStyle w:val="p4"/>
        <w:spacing w:line="240" w:lineRule="auto"/>
        <w:ind w:left="0"/>
      </w:pPr>
      <w:r>
        <w:t>The Cost Allocation Plan has</w:t>
      </w:r>
      <w:r w:rsidR="00040C77" w:rsidRPr="0016167A">
        <w:t xml:space="preserve"> bee</w:t>
      </w:r>
      <w:r>
        <w:t xml:space="preserve">n specifically submitted to the </w:t>
      </w:r>
      <w:r w:rsidR="00682406">
        <w:t>Board of Education</w:t>
      </w:r>
      <w:r w:rsidR="00040C77" w:rsidRPr="0016167A">
        <w:t xml:space="preserve"> for review</w:t>
      </w:r>
      <w:r w:rsidR="00682406">
        <w:t xml:space="preserve"> and approval in its entirety. The Board of Education</w:t>
      </w:r>
      <w:r w:rsidR="00040C77" w:rsidRPr="0016167A">
        <w:t xml:space="preserve"> has approved the cost alloca</w:t>
      </w:r>
      <w:r w:rsidR="00682406">
        <w:t>tion methods and practices the administrative staff</w:t>
      </w:r>
      <w:r w:rsidR="00040C77" w:rsidRPr="0016167A">
        <w:t xml:space="preserve"> developed and implemented. </w:t>
      </w:r>
      <w:r w:rsidR="00682406">
        <w:t xml:space="preserve"> The Board of Education</w:t>
      </w:r>
      <w:r w:rsidR="00682406" w:rsidRPr="0016167A">
        <w:t xml:space="preserve"> shall review the Cost Allocation Plan</w:t>
      </w:r>
      <w:r w:rsidR="00682406">
        <w:t xml:space="preserve"> annually</w:t>
      </w:r>
      <w:r w:rsidR="00040C77" w:rsidRPr="0016167A">
        <w:t>.</w:t>
      </w:r>
    </w:p>
    <w:p w14:paraId="6DA1889B" w14:textId="77777777" w:rsidR="00040C77" w:rsidRDefault="00040C77" w:rsidP="00682406">
      <w:pPr>
        <w:pStyle w:val="c3"/>
        <w:tabs>
          <w:tab w:val="left" w:pos="5140"/>
        </w:tabs>
        <w:spacing w:line="240" w:lineRule="auto"/>
        <w:jc w:val="left"/>
        <w:rPr>
          <w:u w:val="single"/>
        </w:rPr>
      </w:pPr>
    </w:p>
    <w:p w14:paraId="690297DE" w14:textId="77777777" w:rsidR="00D64C2C" w:rsidRDefault="00682406" w:rsidP="00682406">
      <w:pPr>
        <w:pStyle w:val="p4"/>
        <w:spacing w:line="240" w:lineRule="auto"/>
        <w:ind w:left="0" w:firstLine="0"/>
      </w:pPr>
      <w:r>
        <w:t>Adopted: September 10, 2012</w:t>
      </w:r>
    </w:p>
    <w:p w14:paraId="787379D4" w14:textId="28C6B5BC" w:rsidR="004E720B" w:rsidRDefault="00D2605C" w:rsidP="00682406">
      <w:pPr>
        <w:pStyle w:val="p4"/>
        <w:spacing w:line="240" w:lineRule="auto"/>
        <w:ind w:left="0" w:firstLine="0"/>
      </w:pPr>
      <w:r>
        <w:t>Reviewed: Apr. 8, 2013</w:t>
      </w:r>
      <w:r w:rsidR="00E166E0">
        <w:t>, May 12, 2014</w:t>
      </w:r>
      <w:r w:rsidR="0000008E">
        <w:t>, May 1</w:t>
      </w:r>
      <w:r w:rsidR="004E720B">
        <w:t>1, 2015, May 9, 2016, May 8 2017</w:t>
      </w:r>
      <w:r w:rsidR="0000008E">
        <w:t>,</w:t>
      </w:r>
    </w:p>
    <w:p w14:paraId="23891FB4" w14:textId="3858266B" w:rsidR="00D2605C" w:rsidRDefault="004E720B" w:rsidP="00682406">
      <w:pPr>
        <w:pStyle w:val="p4"/>
        <w:spacing w:line="240" w:lineRule="auto"/>
        <w:ind w:left="0" w:firstLine="0"/>
      </w:pPr>
      <w:r>
        <w:t>Revised:</w:t>
      </w:r>
      <w:r w:rsidR="0000008E">
        <w:t xml:space="preserve"> Sept. 11, 2017</w:t>
      </w:r>
    </w:p>
    <w:p w14:paraId="1C79D172" w14:textId="77777777" w:rsidR="006E4DD9" w:rsidRPr="004C6759" w:rsidRDefault="00EA1BA3" w:rsidP="006E4DD9">
      <w:pPr>
        <w:spacing w:line="0" w:lineRule="atLeast"/>
        <w:jc w:val="both"/>
      </w:pPr>
      <w:r>
        <w:t>Reviewed: May 14, 2018</w:t>
      </w:r>
      <w:r w:rsidR="00871F26">
        <w:t>, May 13, 2019</w:t>
      </w:r>
      <w:r w:rsidR="00624674">
        <w:t>, June 8, 2020</w:t>
      </w:r>
      <w:r w:rsidR="00995850">
        <w:t>, June 14, 2021</w:t>
      </w:r>
      <w:r w:rsidR="003E6848">
        <w:t>, June 13, 2022, June 12, 2023</w:t>
      </w:r>
      <w:r w:rsidR="006A6AED">
        <w:t>, June 10, 2024</w:t>
      </w:r>
      <w:r w:rsidR="006E4DD9">
        <w:t>, June 9, 2025</w:t>
      </w:r>
    </w:p>
    <w:p w14:paraId="33E033F8" w14:textId="0864CEC5" w:rsidR="00EA1BA3" w:rsidRPr="0016167A" w:rsidRDefault="00EA1BA3" w:rsidP="00682406">
      <w:pPr>
        <w:pStyle w:val="p4"/>
        <w:spacing w:line="240" w:lineRule="auto"/>
        <w:ind w:left="0" w:firstLine="0"/>
      </w:pPr>
    </w:p>
    <w:sectPr w:rsidR="00EA1BA3" w:rsidRPr="0016167A" w:rsidSect="004A6623">
      <w:footerReference w:type="default" r:id="rId9"/>
      <w:type w:val="continuous"/>
      <w:pgSz w:w="12240" w:h="15840"/>
      <w:pgMar w:top="720" w:right="576" w:bottom="720" w:left="576"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CAC1" w14:textId="77777777" w:rsidR="0067088D" w:rsidRDefault="0067088D">
      <w:r>
        <w:separator/>
      </w:r>
    </w:p>
  </w:endnote>
  <w:endnote w:type="continuationSeparator" w:id="0">
    <w:p w14:paraId="3DE1FC3E" w14:textId="77777777" w:rsidR="0067088D" w:rsidRDefault="0067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2627" w14:textId="77777777" w:rsidR="00DD61E6" w:rsidRDefault="00DD61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B96A" w14:textId="77777777" w:rsidR="00DD61E6" w:rsidRDefault="00DD61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38CA" w14:textId="77777777" w:rsidR="0067088D" w:rsidRDefault="0067088D">
      <w:r>
        <w:separator/>
      </w:r>
    </w:p>
  </w:footnote>
  <w:footnote w:type="continuationSeparator" w:id="0">
    <w:p w14:paraId="56F0B570" w14:textId="77777777" w:rsidR="0067088D" w:rsidRDefault="0067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B92B" w14:textId="77777777" w:rsidR="00DD61E6" w:rsidRDefault="00DD61E6" w:rsidP="00682406">
    <w:pPr>
      <w:tabs>
        <w:tab w:val="center" w:pos="4680"/>
        <w:tab w:val="right" w:pos="9360"/>
      </w:tabs>
    </w:pPr>
    <w:r>
      <w:t>Article 3</w:t>
    </w:r>
    <w:r>
      <w:rPr>
        <w:b/>
      </w:rPr>
      <w:tab/>
      <w:t>BUSINESS OPERATIONS</w:t>
    </w:r>
    <w:r>
      <w:tab/>
      <w:t>Policy No. 3181</w:t>
    </w:r>
  </w:p>
  <w:p w14:paraId="0A26973E" w14:textId="77777777" w:rsidR="00DD61E6" w:rsidRDefault="00DD6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pStyle w:val="QuickA"/>
      <w:lvlText w:val="%1."/>
      <w:lvlJc w:val="left"/>
      <w:pPr>
        <w:tabs>
          <w:tab w:val="num" w:pos="1440"/>
        </w:tabs>
      </w:pPr>
    </w:lvl>
  </w:abstractNum>
  <w:abstractNum w:abstractNumId="1" w15:restartNumberingAfterBreak="0">
    <w:nsid w:val="00000002"/>
    <w:multiLevelType w:val="singleLevel"/>
    <w:tmpl w:val="00000000"/>
    <w:lvl w:ilvl="0">
      <w:start w:val="1"/>
      <w:numFmt w:val="decimal"/>
      <w:pStyle w:val="Quick1"/>
      <w:lvlText w:val="%1."/>
      <w:lvlJc w:val="left"/>
      <w:pPr>
        <w:tabs>
          <w:tab w:val="num" w:pos="2160"/>
        </w:tabs>
      </w:pPr>
    </w:lvl>
  </w:abstractNum>
  <w:abstractNum w:abstractNumId="2" w15:restartNumberingAfterBreak="0">
    <w:nsid w:val="00000003"/>
    <w:multiLevelType w:val="singleLevel"/>
    <w:tmpl w:val="00000000"/>
    <w:lvl w:ilvl="0">
      <w:start w:val="1"/>
      <w:numFmt w:val="upperRoman"/>
      <w:pStyle w:val="QuickI"/>
      <w:lvlText w:val="%1."/>
      <w:lvlJc w:val="left"/>
      <w:pPr>
        <w:tabs>
          <w:tab w:val="num" w:pos="1440"/>
        </w:tabs>
      </w:pPr>
    </w:lvl>
  </w:abstractNum>
  <w:abstractNum w:abstractNumId="3" w15:restartNumberingAfterBreak="0">
    <w:nsid w:val="03A7504B"/>
    <w:multiLevelType w:val="singleLevel"/>
    <w:tmpl w:val="04090019"/>
    <w:lvl w:ilvl="0">
      <w:start w:val="1"/>
      <w:numFmt w:val="lowerLetter"/>
      <w:lvlText w:val="(%1)"/>
      <w:lvlJc w:val="left"/>
      <w:pPr>
        <w:tabs>
          <w:tab w:val="num" w:pos="360"/>
        </w:tabs>
        <w:ind w:left="360" w:hanging="360"/>
      </w:pPr>
    </w:lvl>
  </w:abstractNum>
  <w:abstractNum w:abstractNumId="4" w15:restartNumberingAfterBreak="0">
    <w:nsid w:val="07AF7F09"/>
    <w:multiLevelType w:val="singleLevel"/>
    <w:tmpl w:val="9E0CBF04"/>
    <w:lvl w:ilvl="0">
      <w:start w:val="1"/>
      <w:numFmt w:val="lowerLetter"/>
      <w:lvlText w:val="(%1)"/>
      <w:lvlJc w:val="left"/>
      <w:pPr>
        <w:tabs>
          <w:tab w:val="num" w:pos="1440"/>
        </w:tabs>
        <w:ind w:left="1440" w:hanging="720"/>
      </w:pPr>
      <w:rPr>
        <w:rFonts w:hint="default"/>
      </w:rPr>
    </w:lvl>
  </w:abstractNum>
  <w:abstractNum w:abstractNumId="5" w15:restartNumberingAfterBreak="0">
    <w:nsid w:val="4CF64D64"/>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6EDD72F9"/>
    <w:multiLevelType w:val="multilevel"/>
    <w:tmpl w:val="F9E4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65F7D"/>
    <w:multiLevelType w:val="hybridMultilevel"/>
    <w:tmpl w:val="DB249E6A"/>
    <w:lvl w:ilvl="0" w:tplc="D6F05628">
      <w:start w:val="2"/>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C7851AD"/>
    <w:multiLevelType w:val="hybridMultilevel"/>
    <w:tmpl w:val="6FEE87DA"/>
    <w:lvl w:ilvl="0" w:tplc="27A0B2D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06918215">
    <w:abstractNumId w:val="3"/>
  </w:num>
  <w:num w:numId="2" w16cid:durableId="898171839">
    <w:abstractNumId w:val="4"/>
  </w:num>
  <w:num w:numId="3" w16cid:durableId="1577011005">
    <w:abstractNumId w:val="5"/>
  </w:num>
  <w:num w:numId="4" w16cid:durableId="889003743">
    <w:abstractNumId w:val="0"/>
    <w:lvlOverride w:ilvl="0">
      <w:startOverride w:val="10"/>
      <w:lvl w:ilvl="0">
        <w:start w:val="10"/>
        <w:numFmt w:val="decimal"/>
        <w:pStyle w:val="QuickA"/>
        <w:lvlText w:val="%1."/>
        <w:lvlJc w:val="left"/>
      </w:lvl>
    </w:lvlOverride>
  </w:num>
  <w:num w:numId="5" w16cid:durableId="1393457474">
    <w:abstractNumId w:val="8"/>
  </w:num>
  <w:num w:numId="6" w16cid:durableId="1930506256">
    <w:abstractNumId w:val="1"/>
    <w:lvlOverride w:ilvl="0">
      <w:startOverride w:val="1"/>
      <w:lvl w:ilvl="0">
        <w:start w:val="1"/>
        <w:numFmt w:val="decimal"/>
        <w:pStyle w:val="Quick1"/>
        <w:lvlText w:val="%1."/>
        <w:lvlJc w:val="left"/>
      </w:lvl>
    </w:lvlOverride>
  </w:num>
  <w:num w:numId="7" w16cid:durableId="1616399912">
    <w:abstractNumId w:val="1"/>
    <w:lvlOverride w:ilvl="0">
      <w:startOverride w:val="1"/>
      <w:lvl w:ilvl="0">
        <w:start w:val="1"/>
        <w:numFmt w:val="decimal"/>
        <w:pStyle w:val="Quick1"/>
        <w:lvlText w:val="%1."/>
        <w:lvlJc w:val="left"/>
      </w:lvl>
    </w:lvlOverride>
  </w:num>
  <w:num w:numId="8" w16cid:durableId="1937711157">
    <w:abstractNumId w:val="2"/>
    <w:lvlOverride w:ilvl="0">
      <w:startOverride w:val="1"/>
      <w:lvl w:ilvl="0">
        <w:start w:val="1"/>
        <w:numFmt w:val="decimal"/>
        <w:pStyle w:val="QuickI"/>
        <w:lvlText w:val="%1."/>
        <w:lvlJc w:val="left"/>
      </w:lvl>
    </w:lvlOverride>
  </w:num>
  <w:num w:numId="9" w16cid:durableId="2136941027">
    <w:abstractNumId w:val="7"/>
  </w:num>
  <w:num w:numId="10" w16cid:durableId="1518495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EB"/>
    <w:rsid w:val="0000008E"/>
    <w:rsid w:val="00000A66"/>
    <w:rsid w:val="00005CA0"/>
    <w:rsid w:val="00040C77"/>
    <w:rsid w:val="00064BD0"/>
    <w:rsid w:val="000771FC"/>
    <w:rsid w:val="000821E5"/>
    <w:rsid w:val="0008553B"/>
    <w:rsid w:val="00090B67"/>
    <w:rsid w:val="00097E65"/>
    <w:rsid w:val="000A2810"/>
    <w:rsid w:val="000A4CC0"/>
    <w:rsid w:val="000A6898"/>
    <w:rsid w:val="000D1252"/>
    <w:rsid w:val="0013502B"/>
    <w:rsid w:val="00140173"/>
    <w:rsid w:val="0016167A"/>
    <w:rsid w:val="0018194E"/>
    <w:rsid w:val="00194B57"/>
    <w:rsid w:val="001A774E"/>
    <w:rsid w:val="001A7CA3"/>
    <w:rsid w:val="001C4147"/>
    <w:rsid w:val="00222434"/>
    <w:rsid w:val="0023099A"/>
    <w:rsid w:val="00272881"/>
    <w:rsid w:val="00295332"/>
    <w:rsid w:val="002A3EEF"/>
    <w:rsid w:val="002B1288"/>
    <w:rsid w:val="002F7297"/>
    <w:rsid w:val="00300136"/>
    <w:rsid w:val="00310D4B"/>
    <w:rsid w:val="00376193"/>
    <w:rsid w:val="003860A1"/>
    <w:rsid w:val="003B5002"/>
    <w:rsid w:val="003B6652"/>
    <w:rsid w:val="003E6848"/>
    <w:rsid w:val="003F1719"/>
    <w:rsid w:val="00401E11"/>
    <w:rsid w:val="00404FC6"/>
    <w:rsid w:val="00422D7A"/>
    <w:rsid w:val="00453C4B"/>
    <w:rsid w:val="00470256"/>
    <w:rsid w:val="004779ED"/>
    <w:rsid w:val="00493F2C"/>
    <w:rsid w:val="004A6623"/>
    <w:rsid w:val="004B6E5F"/>
    <w:rsid w:val="004C1F32"/>
    <w:rsid w:val="004D1854"/>
    <w:rsid w:val="004D237A"/>
    <w:rsid w:val="004E720B"/>
    <w:rsid w:val="00500D46"/>
    <w:rsid w:val="005039AF"/>
    <w:rsid w:val="00536F39"/>
    <w:rsid w:val="00537FB4"/>
    <w:rsid w:val="00545986"/>
    <w:rsid w:val="00553729"/>
    <w:rsid w:val="0057162B"/>
    <w:rsid w:val="00572299"/>
    <w:rsid w:val="0058167E"/>
    <w:rsid w:val="0059243A"/>
    <w:rsid w:val="005949D7"/>
    <w:rsid w:val="005B2668"/>
    <w:rsid w:val="005D7693"/>
    <w:rsid w:val="005F30B1"/>
    <w:rsid w:val="00624674"/>
    <w:rsid w:val="00630171"/>
    <w:rsid w:val="00646A5E"/>
    <w:rsid w:val="006525E9"/>
    <w:rsid w:val="0067088D"/>
    <w:rsid w:val="00682406"/>
    <w:rsid w:val="00687105"/>
    <w:rsid w:val="006A6AED"/>
    <w:rsid w:val="006C3C8D"/>
    <w:rsid w:val="006C689D"/>
    <w:rsid w:val="006D4ABD"/>
    <w:rsid w:val="006E4DD9"/>
    <w:rsid w:val="00707411"/>
    <w:rsid w:val="00747FF3"/>
    <w:rsid w:val="00751ADC"/>
    <w:rsid w:val="00787C57"/>
    <w:rsid w:val="00797BDE"/>
    <w:rsid w:val="007A1ADB"/>
    <w:rsid w:val="007A5B32"/>
    <w:rsid w:val="007B27EB"/>
    <w:rsid w:val="007B2ED8"/>
    <w:rsid w:val="00815B35"/>
    <w:rsid w:val="00852310"/>
    <w:rsid w:val="00871F26"/>
    <w:rsid w:val="009149EE"/>
    <w:rsid w:val="00937504"/>
    <w:rsid w:val="0094303B"/>
    <w:rsid w:val="00965F9B"/>
    <w:rsid w:val="00995850"/>
    <w:rsid w:val="009A0A45"/>
    <w:rsid w:val="009A1BEF"/>
    <w:rsid w:val="009B4280"/>
    <w:rsid w:val="009D6BFB"/>
    <w:rsid w:val="009E5ABD"/>
    <w:rsid w:val="009F4965"/>
    <w:rsid w:val="00A00E60"/>
    <w:rsid w:val="00A0179A"/>
    <w:rsid w:val="00A15DCD"/>
    <w:rsid w:val="00A424D0"/>
    <w:rsid w:val="00A51672"/>
    <w:rsid w:val="00A51AC4"/>
    <w:rsid w:val="00A93BA5"/>
    <w:rsid w:val="00AC4102"/>
    <w:rsid w:val="00AD3DCE"/>
    <w:rsid w:val="00AE4E22"/>
    <w:rsid w:val="00AE5B0B"/>
    <w:rsid w:val="00AF3818"/>
    <w:rsid w:val="00B06825"/>
    <w:rsid w:val="00B13494"/>
    <w:rsid w:val="00B2049E"/>
    <w:rsid w:val="00B46AFB"/>
    <w:rsid w:val="00B93A02"/>
    <w:rsid w:val="00BA28DF"/>
    <w:rsid w:val="00BC40EB"/>
    <w:rsid w:val="00BD35D9"/>
    <w:rsid w:val="00BD4F21"/>
    <w:rsid w:val="00C12165"/>
    <w:rsid w:val="00C14CA5"/>
    <w:rsid w:val="00C20E1B"/>
    <w:rsid w:val="00C25A99"/>
    <w:rsid w:val="00C52488"/>
    <w:rsid w:val="00C534C7"/>
    <w:rsid w:val="00C627A8"/>
    <w:rsid w:val="00C80E5F"/>
    <w:rsid w:val="00C944BC"/>
    <w:rsid w:val="00CA4D72"/>
    <w:rsid w:val="00CC50B7"/>
    <w:rsid w:val="00CD3C86"/>
    <w:rsid w:val="00CE6985"/>
    <w:rsid w:val="00CF5E5F"/>
    <w:rsid w:val="00D2605C"/>
    <w:rsid w:val="00D64B55"/>
    <w:rsid w:val="00D64C2C"/>
    <w:rsid w:val="00DC3597"/>
    <w:rsid w:val="00DC4DEF"/>
    <w:rsid w:val="00DD61E6"/>
    <w:rsid w:val="00E0528F"/>
    <w:rsid w:val="00E1080D"/>
    <w:rsid w:val="00E125F4"/>
    <w:rsid w:val="00E166E0"/>
    <w:rsid w:val="00E42FB5"/>
    <w:rsid w:val="00E75EA0"/>
    <w:rsid w:val="00E85005"/>
    <w:rsid w:val="00E87503"/>
    <w:rsid w:val="00EA1BA3"/>
    <w:rsid w:val="00EA2EB5"/>
    <w:rsid w:val="00EC3524"/>
    <w:rsid w:val="00F20CF3"/>
    <w:rsid w:val="00F22F51"/>
    <w:rsid w:val="00F50AED"/>
    <w:rsid w:val="00F55726"/>
    <w:rsid w:val="00F67B0B"/>
    <w:rsid w:val="00F703C7"/>
    <w:rsid w:val="00F8310F"/>
    <w:rsid w:val="00FB11A1"/>
    <w:rsid w:val="00FC4226"/>
    <w:rsid w:val="00FE35F7"/>
    <w:rsid w:val="00FF6B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BAE18"/>
  <w15:docId w15:val="{60587A92-44E2-4944-9CBD-93D30D3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B67"/>
    <w:pPr>
      <w:widowControl w:val="0"/>
      <w:autoSpaceDE w:val="0"/>
      <w:autoSpaceDN w:val="0"/>
    </w:pPr>
    <w:rPr>
      <w:sz w:val="24"/>
      <w:szCs w:val="24"/>
    </w:rPr>
  </w:style>
  <w:style w:type="paragraph" w:styleId="Heading1">
    <w:name w:val="heading 1"/>
    <w:basedOn w:val="Normal"/>
    <w:next w:val="Normal"/>
    <w:qFormat/>
    <w:rsid w:val="00090B67"/>
    <w:pPr>
      <w:keepNext/>
      <w:tabs>
        <w:tab w:val="left" w:pos="740"/>
      </w:tabs>
      <w:jc w:val="center"/>
      <w:outlineLvl w:val="0"/>
    </w:pPr>
    <w:rPr>
      <w:u w:val="single"/>
    </w:rPr>
  </w:style>
  <w:style w:type="paragraph" w:styleId="Heading3">
    <w:name w:val="heading 3"/>
    <w:basedOn w:val="Normal"/>
    <w:next w:val="Normal"/>
    <w:qFormat/>
    <w:rsid w:val="007B2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090B67"/>
    <w:pPr>
      <w:tabs>
        <w:tab w:val="left" w:pos="720"/>
      </w:tabs>
      <w:spacing w:line="240" w:lineRule="atLeast"/>
      <w:jc w:val="both"/>
    </w:pPr>
  </w:style>
  <w:style w:type="paragraph" w:customStyle="1" w:styleId="t1">
    <w:name w:val="t1"/>
    <w:basedOn w:val="Normal"/>
    <w:rsid w:val="00090B67"/>
    <w:pPr>
      <w:spacing w:line="240" w:lineRule="atLeast"/>
    </w:pPr>
  </w:style>
  <w:style w:type="paragraph" w:customStyle="1" w:styleId="t2">
    <w:name w:val="t2"/>
    <w:basedOn w:val="Normal"/>
    <w:rsid w:val="00090B67"/>
    <w:pPr>
      <w:spacing w:line="240" w:lineRule="atLeast"/>
    </w:pPr>
  </w:style>
  <w:style w:type="paragraph" w:customStyle="1" w:styleId="c3">
    <w:name w:val="c3"/>
    <w:basedOn w:val="Normal"/>
    <w:rsid w:val="00090B67"/>
    <w:pPr>
      <w:spacing w:line="240" w:lineRule="atLeast"/>
      <w:jc w:val="center"/>
    </w:pPr>
  </w:style>
  <w:style w:type="paragraph" w:customStyle="1" w:styleId="p4">
    <w:name w:val="p4"/>
    <w:basedOn w:val="Normal"/>
    <w:rsid w:val="00090B67"/>
    <w:pPr>
      <w:tabs>
        <w:tab w:val="left" w:pos="740"/>
      </w:tabs>
      <w:spacing w:line="240" w:lineRule="atLeast"/>
      <w:ind w:left="1440" w:firstLine="720"/>
    </w:pPr>
  </w:style>
  <w:style w:type="paragraph" w:customStyle="1" w:styleId="p5">
    <w:name w:val="p5"/>
    <w:basedOn w:val="Normal"/>
    <w:rsid w:val="00090B67"/>
    <w:pPr>
      <w:tabs>
        <w:tab w:val="left" w:pos="720"/>
      </w:tabs>
      <w:spacing w:line="240" w:lineRule="atLeast"/>
    </w:pPr>
  </w:style>
  <w:style w:type="paragraph" w:customStyle="1" w:styleId="t6">
    <w:name w:val="t6"/>
    <w:basedOn w:val="Normal"/>
    <w:rsid w:val="00090B67"/>
    <w:pPr>
      <w:spacing w:line="240" w:lineRule="atLeast"/>
    </w:pPr>
  </w:style>
  <w:style w:type="paragraph" w:customStyle="1" w:styleId="c7">
    <w:name w:val="c7"/>
    <w:basedOn w:val="Normal"/>
    <w:rsid w:val="00090B67"/>
    <w:pPr>
      <w:spacing w:line="240" w:lineRule="atLeast"/>
      <w:jc w:val="center"/>
    </w:pPr>
  </w:style>
  <w:style w:type="paragraph" w:customStyle="1" w:styleId="p8">
    <w:name w:val="p8"/>
    <w:basedOn w:val="Normal"/>
    <w:rsid w:val="00090B67"/>
    <w:pPr>
      <w:tabs>
        <w:tab w:val="left" w:pos="740"/>
        <w:tab w:val="left" w:pos="1300"/>
      </w:tabs>
      <w:spacing w:line="240" w:lineRule="atLeast"/>
      <w:ind w:left="144" w:hanging="576"/>
    </w:pPr>
  </w:style>
  <w:style w:type="paragraph" w:customStyle="1" w:styleId="p9">
    <w:name w:val="p9"/>
    <w:basedOn w:val="Normal"/>
    <w:rsid w:val="00090B67"/>
    <w:pPr>
      <w:tabs>
        <w:tab w:val="left" w:pos="1300"/>
      </w:tabs>
      <w:spacing w:line="240" w:lineRule="atLeast"/>
      <w:ind w:left="144" w:hanging="576"/>
    </w:pPr>
  </w:style>
  <w:style w:type="paragraph" w:customStyle="1" w:styleId="p10">
    <w:name w:val="p10"/>
    <w:basedOn w:val="Normal"/>
    <w:rsid w:val="00090B67"/>
    <w:pPr>
      <w:tabs>
        <w:tab w:val="left" w:pos="6580"/>
      </w:tabs>
      <w:spacing w:line="240" w:lineRule="atLeast"/>
      <w:ind w:left="5140"/>
    </w:pPr>
  </w:style>
  <w:style w:type="paragraph" w:styleId="BalloonText">
    <w:name w:val="Balloon Text"/>
    <w:basedOn w:val="Normal"/>
    <w:semiHidden/>
    <w:rsid w:val="00E87503"/>
    <w:rPr>
      <w:rFonts w:ascii="Tahoma" w:hAnsi="Tahoma" w:cs="Tahoma"/>
      <w:sz w:val="16"/>
      <w:szCs w:val="16"/>
    </w:rPr>
  </w:style>
  <w:style w:type="paragraph" w:customStyle="1" w:styleId="QuickA">
    <w:name w:val="Quick A."/>
    <w:basedOn w:val="Normal"/>
    <w:rsid w:val="00751ADC"/>
    <w:pPr>
      <w:numPr>
        <w:numId w:val="4"/>
      </w:numPr>
      <w:autoSpaceDE/>
      <w:autoSpaceDN/>
      <w:ind w:left="1440" w:hanging="720"/>
    </w:pPr>
    <w:rPr>
      <w:snapToGrid w:val="0"/>
      <w:szCs w:val="20"/>
    </w:rPr>
  </w:style>
  <w:style w:type="paragraph" w:styleId="BodyText">
    <w:name w:val="Body Text"/>
    <w:basedOn w:val="Normal"/>
    <w:rsid w:val="00751ADC"/>
    <w:pPr>
      <w:autoSpaceDE/>
      <w:autoSpaceDN/>
      <w:jc w:val="both"/>
    </w:pPr>
    <w:rPr>
      <w:snapToGrid w:val="0"/>
      <w:szCs w:val="20"/>
    </w:rPr>
  </w:style>
  <w:style w:type="paragraph" w:customStyle="1" w:styleId="Quick1">
    <w:name w:val="Quick 1."/>
    <w:basedOn w:val="Normal"/>
    <w:rsid w:val="007B2ED8"/>
    <w:pPr>
      <w:numPr>
        <w:numId w:val="6"/>
      </w:numPr>
      <w:autoSpaceDE/>
      <w:autoSpaceDN/>
      <w:ind w:left="2160" w:hanging="720"/>
    </w:pPr>
    <w:rPr>
      <w:snapToGrid w:val="0"/>
      <w:szCs w:val="20"/>
    </w:rPr>
  </w:style>
  <w:style w:type="paragraph" w:customStyle="1" w:styleId="QuickI">
    <w:name w:val="Quick I."/>
    <w:basedOn w:val="Normal"/>
    <w:rsid w:val="007B2ED8"/>
    <w:pPr>
      <w:numPr>
        <w:numId w:val="8"/>
      </w:numPr>
      <w:autoSpaceDE/>
      <w:autoSpaceDN/>
      <w:ind w:left="1440" w:hanging="720"/>
    </w:pPr>
    <w:rPr>
      <w:snapToGrid w:val="0"/>
      <w:szCs w:val="20"/>
    </w:rPr>
  </w:style>
  <w:style w:type="paragraph" w:styleId="Footer">
    <w:name w:val="footer"/>
    <w:basedOn w:val="Normal"/>
    <w:rsid w:val="007B2ED8"/>
    <w:pPr>
      <w:tabs>
        <w:tab w:val="center" w:pos="4320"/>
        <w:tab w:val="right" w:pos="8640"/>
      </w:tabs>
      <w:autoSpaceDE/>
      <w:autoSpaceDN/>
    </w:pPr>
    <w:rPr>
      <w:snapToGrid w:val="0"/>
      <w:szCs w:val="20"/>
    </w:rPr>
  </w:style>
  <w:style w:type="paragraph" w:styleId="NormalWeb">
    <w:name w:val="Normal (Web)"/>
    <w:basedOn w:val="Normal"/>
    <w:rsid w:val="007B27EB"/>
    <w:pPr>
      <w:widowControl/>
      <w:autoSpaceDE/>
      <w:autoSpaceDN/>
      <w:spacing w:before="100" w:beforeAutospacing="1" w:after="100" w:afterAutospacing="1"/>
    </w:pPr>
  </w:style>
  <w:style w:type="character" w:styleId="Strong">
    <w:name w:val="Strong"/>
    <w:qFormat/>
    <w:rsid w:val="007B27EB"/>
    <w:rPr>
      <w:b/>
      <w:bCs/>
    </w:rPr>
  </w:style>
  <w:style w:type="paragraph" w:styleId="Header">
    <w:name w:val="header"/>
    <w:basedOn w:val="Normal"/>
    <w:link w:val="HeaderChar"/>
    <w:uiPriority w:val="99"/>
    <w:unhideWhenUsed/>
    <w:rsid w:val="00682406"/>
    <w:pPr>
      <w:tabs>
        <w:tab w:val="center" w:pos="4320"/>
        <w:tab w:val="right" w:pos="8640"/>
      </w:tabs>
    </w:pPr>
  </w:style>
  <w:style w:type="character" w:customStyle="1" w:styleId="HeaderChar">
    <w:name w:val="Header Char"/>
    <w:link w:val="Header"/>
    <w:uiPriority w:val="99"/>
    <w:rsid w:val="006824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4837">
      <w:bodyDiv w:val="1"/>
      <w:marLeft w:val="0"/>
      <w:marRight w:val="0"/>
      <w:marTop w:val="0"/>
      <w:marBottom w:val="0"/>
      <w:divBdr>
        <w:top w:val="none" w:sz="0" w:space="0" w:color="auto"/>
        <w:left w:val="none" w:sz="0" w:space="0" w:color="auto"/>
        <w:bottom w:val="none" w:sz="0" w:space="0" w:color="auto"/>
        <w:right w:val="none" w:sz="0" w:space="0" w:color="auto"/>
      </w:divBdr>
    </w:div>
    <w:div w:id="1638144430">
      <w:bodyDiv w:val="1"/>
      <w:marLeft w:val="0"/>
      <w:marRight w:val="0"/>
      <w:marTop w:val="0"/>
      <w:marBottom w:val="0"/>
      <w:divBdr>
        <w:top w:val="none" w:sz="0" w:space="0" w:color="auto"/>
        <w:left w:val="none" w:sz="0" w:space="0" w:color="auto"/>
        <w:bottom w:val="none" w:sz="0" w:space="0" w:color="auto"/>
        <w:right w:val="none" w:sz="0" w:space="0" w:color="auto"/>
      </w:divBdr>
    </w:div>
    <w:div w:id="1864510403">
      <w:bodyDiv w:val="1"/>
      <w:marLeft w:val="0"/>
      <w:marRight w:val="0"/>
      <w:marTop w:val="0"/>
      <w:marBottom w:val="0"/>
      <w:divBdr>
        <w:top w:val="none" w:sz="0" w:space="0" w:color="auto"/>
        <w:left w:val="none" w:sz="0" w:space="0" w:color="auto"/>
        <w:bottom w:val="none" w:sz="0" w:space="0" w:color="auto"/>
        <w:right w:val="none" w:sz="0" w:space="0" w:color="auto"/>
      </w:divBdr>
    </w:div>
    <w:div w:id="1993678964">
      <w:bodyDiv w:val="1"/>
      <w:marLeft w:val="75"/>
      <w:marRight w:val="75"/>
      <w:marTop w:val="0"/>
      <w:marBottom w:val="0"/>
      <w:divBdr>
        <w:top w:val="none" w:sz="0" w:space="0" w:color="auto"/>
        <w:left w:val="none" w:sz="0" w:space="0" w:color="auto"/>
        <w:bottom w:val="none" w:sz="0" w:space="0" w:color="auto"/>
        <w:right w:val="none" w:sz="0" w:space="0" w:color="auto"/>
      </w:divBdr>
      <w:divsChild>
        <w:div w:id="161048506">
          <w:marLeft w:val="0"/>
          <w:marRight w:val="0"/>
          <w:marTop w:val="0"/>
          <w:marBottom w:val="0"/>
          <w:divBdr>
            <w:top w:val="none" w:sz="0" w:space="0" w:color="auto"/>
            <w:left w:val="none" w:sz="0" w:space="0" w:color="auto"/>
            <w:bottom w:val="none" w:sz="0" w:space="0" w:color="auto"/>
            <w:right w:val="none" w:sz="0" w:space="0" w:color="auto"/>
          </w:divBdr>
          <w:divsChild>
            <w:div w:id="5623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WOODBURY COUNTY COMMUNITY ACTION AGENCY</vt:lpstr>
    </vt:vector>
  </TitlesOfParts>
  <Company>WCCAA</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WOODBURY COUNTY COMMUNITY ACTION AGENCY</dc:title>
  <dc:subject/>
  <dc:creator>WCCAA</dc:creator>
  <cp:keywords/>
  <cp:lastModifiedBy>Morlan, Emily (eemorlan)</cp:lastModifiedBy>
  <cp:revision>3</cp:revision>
  <cp:lastPrinted>2017-01-27T19:38:00Z</cp:lastPrinted>
  <dcterms:created xsi:type="dcterms:W3CDTF">2024-06-12T20:48:00Z</dcterms:created>
  <dcterms:modified xsi:type="dcterms:W3CDTF">2025-05-16T20:08:00Z</dcterms:modified>
</cp:coreProperties>
</file>