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0" w:firstLine="0"/>
        <w:jc w:val="center"/>
        <w:rPr>
          <w:rFonts w:ascii="Lora Medium" w:cs="Lora Medium" w:eastAsia="Lora Medium" w:hAnsi="Lora Medium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Bookbag (no wheels)( label with name)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Headphones (please no earbuds and/or wireless) (for personal use, label with name)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Plastic Water Bottle with lid (no metal bottles or cups) (for personal use, label with name)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3 packs of 24 pk crayons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Pencil Pouch (no boxes)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6 Jumbo glue sticks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Black dry-erase markers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2 antibacterial hand soaps </w:t>
      </w:r>
    </w:p>
    <w:p w:rsidR="00000000" w:rsidDel="00000000" w:rsidP="00000000" w:rsidRDefault="00000000" w:rsidRPr="00000000" w14:paraId="0000000A">
      <w:pPr>
        <w:shd w:fill="ffffff" w:val="clear"/>
        <w:ind w:left="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0" w:firstLine="0"/>
        <w:rPr>
          <w:rFonts w:ascii="Lora Medium" w:cs="Lora Medium" w:eastAsia="Lora Medium" w:hAnsi="Lora Medium"/>
          <w:sz w:val="28"/>
          <w:szCs w:val="28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***Please be sure your child has crayons, pencils, paper, erasers, scissors, and glue sticks to complete homework.</w:t>
      </w:r>
    </w:p>
    <w:p w:rsidR="00000000" w:rsidDel="00000000" w:rsidP="00000000" w:rsidRDefault="00000000" w:rsidRPr="00000000" w14:paraId="0000000C">
      <w:pPr>
        <w:shd w:fill="ffffff" w:val="clear"/>
        <w:ind w:left="0" w:firstLine="0"/>
        <w:rPr>
          <w:rFonts w:ascii="Lora Medium" w:cs="Lora Medium" w:eastAsia="Lora Medium" w:hAnsi="Lora Medium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left="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u w:val="single"/>
          <w:rtl w:val="0"/>
        </w:rPr>
        <w:t xml:space="preserve">Very Important Donations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hand sanitizer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Lysol or microban spray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Clorox/Lysol wipes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Kleenex/Tissue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 Ziploc bags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(gallon,quart,sandwich)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 Paper plates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 Markers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hanging="360"/>
        <w:rPr>
          <w:rFonts w:ascii="Lora Medium" w:cs="Lora Medium" w:eastAsia="Lora Medium" w:hAnsi="Lora Medium"/>
          <w:sz w:val="28"/>
          <w:szCs w:val="28"/>
          <w:u w:val="none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Paper towels</w:t>
      </w:r>
    </w:p>
    <w:p w:rsidR="00000000" w:rsidDel="00000000" w:rsidP="00000000" w:rsidRDefault="00000000" w:rsidRPr="00000000" w14:paraId="00000017">
      <w:pPr>
        <w:shd w:fill="ffffff" w:val="clear"/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360" w:top="36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oming Soon">
    <w:embedRegular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left="2880" w:firstLine="0"/>
      <w:jc w:val="right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1719263</wp:posOffset>
          </wp:positionH>
          <wp:positionV relativeFrom="paragraph">
            <wp:posOffset>-342899</wp:posOffset>
          </wp:positionV>
          <wp:extent cx="2500313" cy="20002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0313" cy="2000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Lora SemiBold" w:cs="Lora SemiBold" w:eastAsia="Lora SemiBold" w:hAnsi="Lora SemiBold"/>
        <w:sz w:val="40"/>
        <w:szCs w:val="40"/>
        <w:highlight w:val="white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Park Elementary </w:t>
    </w:r>
  </w:p>
  <w:p w:rsidR="00000000" w:rsidDel="00000000" w:rsidP="00000000" w:rsidRDefault="00000000" w:rsidRPr="00000000" w14:paraId="00000024">
    <w:pPr>
      <w:jc w:val="center"/>
      <w:rPr>
        <w:rFonts w:ascii="Lora SemiBold" w:cs="Lora SemiBold" w:eastAsia="Lora SemiBold" w:hAnsi="Lora SemiBold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Kindergarten Grade Supply List 2025-2026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9" Type="http://schemas.openxmlformats.org/officeDocument/2006/relationships/font" Target="fonts/ComingSoon-regular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