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00626" w:rsidRDefault="00692DE9">
      <w:pPr>
        <w:pBdr>
          <w:top w:val="nil"/>
          <w:left w:val="nil"/>
          <w:bottom w:val="nil"/>
          <w:right w:val="nil"/>
          <w:between w:val="nil"/>
        </w:pBdr>
        <w:jc w:val="center"/>
      </w:pPr>
      <w:r>
        <w:rPr>
          <w:rFonts w:ascii="Arial" w:eastAsia="Arial" w:hAnsi="Arial" w:cs="Arial"/>
          <w:b/>
          <w:sz w:val="32"/>
          <w:szCs w:val="32"/>
        </w:rPr>
        <w:t>School Based Action Plan Team Meeting</w:t>
      </w:r>
      <w:r>
        <w:rPr>
          <w:noProof/>
          <w:lang w:val="en-US"/>
        </w:rPr>
        <w:drawing>
          <wp:anchor distT="0" distB="0" distL="114300" distR="114300" simplePos="0" relativeHeight="251658240" behindDoc="0" locked="0" layoutInCell="1" hidden="0" allowOverlap="1">
            <wp:simplePos x="0" y="0"/>
            <wp:positionH relativeFrom="column">
              <wp:posOffset>7753350</wp:posOffset>
            </wp:positionH>
            <wp:positionV relativeFrom="paragraph">
              <wp:posOffset>0</wp:posOffset>
            </wp:positionV>
            <wp:extent cx="1147763" cy="13430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t="-17164" b="17164"/>
                    <a:stretch>
                      <a:fillRect/>
                    </a:stretch>
                  </pic:blipFill>
                  <pic:spPr>
                    <a:xfrm>
                      <a:off x="0" y="0"/>
                      <a:ext cx="1147763" cy="1343025"/>
                    </a:xfrm>
                    <a:prstGeom prst="rect">
                      <a:avLst/>
                    </a:prstGeom>
                    <a:ln/>
                  </pic:spPr>
                </pic:pic>
              </a:graphicData>
            </a:graphic>
          </wp:anchor>
        </w:drawing>
      </w:r>
    </w:p>
    <w:p w:rsidR="00900626" w:rsidRDefault="00692DE9">
      <w:pPr>
        <w:pBdr>
          <w:top w:val="nil"/>
          <w:left w:val="nil"/>
          <w:bottom w:val="nil"/>
          <w:right w:val="nil"/>
          <w:between w:val="nil"/>
        </w:pBdr>
        <w:jc w:val="center"/>
      </w:pPr>
      <w:r>
        <w:rPr>
          <w:rFonts w:ascii="Arial" w:eastAsia="Arial" w:hAnsi="Arial" w:cs="Arial"/>
          <w:b/>
          <w:sz w:val="32"/>
          <w:szCs w:val="32"/>
        </w:rPr>
        <w:t>Date: April 9, 2019</w:t>
      </w:r>
      <w:r>
        <w:rPr>
          <w:noProof/>
          <w:lang w:val="en-US"/>
        </w:rPr>
        <w:drawing>
          <wp:anchor distT="0" distB="0" distL="114300" distR="114300" simplePos="0" relativeHeight="251659264" behindDoc="0" locked="0" layoutInCell="1" hidden="0" allowOverlap="1">
            <wp:simplePos x="0" y="0"/>
            <wp:positionH relativeFrom="column">
              <wp:posOffset>7915275</wp:posOffset>
            </wp:positionH>
            <wp:positionV relativeFrom="paragraph">
              <wp:posOffset>123825</wp:posOffset>
            </wp:positionV>
            <wp:extent cx="828040" cy="82804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28040" cy="828040"/>
                    </a:xfrm>
                    <a:prstGeom prst="rect">
                      <a:avLst/>
                    </a:prstGeom>
                    <a:ln/>
                  </pic:spPr>
                </pic:pic>
              </a:graphicData>
            </a:graphic>
          </wp:anchor>
        </w:drawing>
      </w:r>
    </w:p>
    <w:p w:rsidR="00900626" w:rsidRDefault="00692DE9">
      <w:pPr>
        <w:pBdr>
          <w:top w:val="nil"/>
          <w:left w:val="nil"/>
          <w:bottom w:val="nil"/>
          <w:right w:val="nil"/>
          <w:between w:val="nil"/>
        </w:pBdr>
        <w:rPr>
          <w:rFonts w:ascii="Arial" w:eastAsia="Arial" w:hAnsi="Arial" w:cs="Arial"/>
          <w:b/>
        </w:rPr>
      </w:pPr>
      <w:r>
        <w:rPr>
          <w:rFonts w:ascii="Arial" w:eastAsia="Arial" w:hAnsi="Arial" w:cs="Arial"/>
          <w:b/>
          <w:sz w:val="32"/>
          <w:szCs w:val="32"/>
        </w:rPr>
        <w:t xml:space="preserve">Present: Gonzalez, Hurwitz, Burton, </w:t>
      </w:r>
      <w:proofErr w:type="spellStart"/>
      <w:r>
        <w:rPr>
          <w:rFonts w:ascii="Arial" w:eastAsia="Arial" w:hAnsi="Arial" w:cs="Arial"/>
          <w:b/>
          <w:sz w:val="32"/>
          <w:szCs w:val="32"/>
        </w:rPr>
        <w:t>Buonomo</w:t>
      </w:r>
      <w:proofErr w:type="spellEnd"/>
      <w:r>
        <w:rPr>
          <w:rFonts w:ascii="Arial" w:eastAsia="Arial" w:hAnsi="Arial" w:cs="Arial"/>
          <w:b/>
          <w:sz w:val="32"/>
          <w:szCs w:val="32"/>
        </w:rPr>
        <w:t xml:space="preserve">, Swick, Juliet Sullivan, </w:t>
      </w:r>
      <w:proofErr w:type="spellStart"/>
      <w:r>
        <w:rPr>
          <w:rFonts w:ascii="Arial" w:eastAsia="Arial" w:hAnsi="Arial" w:cs="Arial"/>
          <w:b/>
          <w:sz w:val="32"/>
          <w:szCs w:val="32"/>
        </w:rPr>
        <w:t>Rothfuss</w:t>
      </w:r>
      <w:proofErr w:type="spellEnd"/>
      <w:r>
        <w:rPr>
          <w:rFonts w:ascii="Arial" w:eastAsia="Arial" w:hAnsi="Arial" w:cs="Arial"/>
          <w:b/>
          <w:sz w:val="32"/>
          <w:szCs w:val="32"/>
        </w:rPr>
        <w:t xml:space="preserve">, Ms. King, </w:t>
      </w:r>
      <w:bookmarkStart w:id="0" w:name="_GoBack"/>
      <w:bookmarkEnd w:id="0"/>
      <w:r>
        <w:rPr>
          <w:rFonts w:ascii="Arial" w:eastAsia="Arial" w:hAnsi="Arial" w:cs="Arial"/>
          <w:b/>
          <w:sz w:val="32"/>
          <w:szCs w:val="32"/>
        </w:rPr>
        <w:t xml:space="preserve">R. </w:t>
      </w:r>
      <w:proofErr w:type="spellStart"/>
      <w:r>
        <w:rPr>
          <w:rFonts w:ascii="Arial" w:eastAsia="Arial" w:hAnsi="Arial" w:cs="Arial"/>
          <w:b/>
          <w:sz w:val="32"/>
          <w:szCs w:val="32"/>
        </w:rPr>
        <w:t>Kettavong</w:t>
      </w:r>
      <w:proofErr w:type="spellEnd"/>
      <w:r>
        <w:rPr>
          <w:rFonts w:ascii="Arial" w:eastAsia="Arial" w:hAnsi="Arial" w:cs="Arial"/>
          <w:b/>
          <w:sz w:val="32"/>
          <w:szCs w:val="32"/>
        </w:rPr>
        <w:t xml:space="preserve"> </w:t>
      </w:r>
      <w:r>
        <w:rPr>
          <w:rFonts w:ascii="Arial" w:eastAsia="Arial" w:hAnsi="Arial" w:cs="Arial"/>
          <w:b/>
        </w:rPr>
        <w:t>(Student Council)</w:t>
      </w:r>
      <w:r>
        <w:rPr>
          <w:rFonts w:ascii="Arial" w:eastAsia="Arial" w:hAnsi="Arial" w:cs="Arial"/>
          <w:b/>
          <w:sz w:val="32"/>
          <w:szCs w:val="32"/>
        </w:rPr>
        <w:t xml:space="preserve">, C. Morris </w:t>
      </w:r>
      <w:r>
        <w:rPr>
          <w:rFonts w:ascii="Arial" w:eastAsia="Arial" w:hAnsi="Arial" w:cs="Arial"/>
          <w:b/>
        </w:rPr>
        <w:t>(Student Council)</w:t>
      </w:r>
    </w:p>
    <w:p w:rsidR="00900626" w:rsidRDefault="00692DE9">
      <w:pPr>
        <w:pBdr>
          <w:top w:val="nil"/>
          <w:left w:val="nil"/>
          <w:bottom w:val="nil"/>
          <w:right w:val="nil"/>
          <w:between w:val="nil"/>
        </w:pBdr>
        <w:rPr>
          <w:color w:val="212121"/>
          <w:sz w:val="22"/>
          <w:szCs w:val="22"/>
        </w:rPr>
      </w:pPr>
      <w:r>
        <w:rPr>
          <w:rFonts w:ascii="Calibri" w:eastAsia="Calibri" w:hAnsi="Calibri" w:cs="Calibri"/>
          <w:sz w:val="22"/>
          <w:szCs w:val="22"/>
        </w:rPr>
        <w:t>Agenda Items:</w:t>
      </w:r>
      <w:r>
        <w:rPr>
          <w:rFonts w:ascii="Calibri" w:eastAsia="Calibri" w:hAnsi="Calibri" w:cs="Calibri"/>
          <w:sz w:val="36"/>
          <w:szCs w:val="36"/>
        </w:rPr>
        <w:t xml:space="preserve"> </w:t>
      </w:r>
    </w:p>
    <w:p w:rsidR="00900626" w:rsidRDefault="00692DE9">
      <w:pPr>
        <w:numPr>
          <w:ilvl w:val="0"/>
          <w:numId w:val="2"/>
        </w:numPr>
        <w:shd w:val="clear" w:color="auto" w:fill="FFFFFF"/>
        <w:rPr>
          <w:color w:val="212121"/>
          <w:sz w:val="22"/>
          <w:szCs w:val="22"/>
        </w:rPr>
      </w:pPr>
      <w:r>
        <w:rPr>
          <w:color w:val="212121"/>
          <w:sz w:val="22"/>
          <w:szCs w:val="22"/>
        </w:rPr>
        <w:t>PD Request Approvals</w:t>
      </w:r>
    </w:p>
    <w:p w:rsidR="00900626" w:rsidRDefault="00692DE9">
      <w:pPr>
        <w:numPr>
          <w:ilvl w:val="0"/>
          <w:numId w:val="2"/>
        </w:numPr>
        <w:shd w:val="clear" w:color="auto" w:fill="FFFFFF"/>
        <w:rPr>
          <w:color w:val="212121"/>
        </w:rPr>
      </w:pPr>
      <w:r>
        <w:rPr>
          <w:color w:val="212121"/>
          <w:sz w:val="14"/>
          <w:szCs w:val="14"/>
        </w:rPr>
        <w:t xml:space="preserve"> </w:t>
      </w:r>
      <w:r>
        <w:rPr>
          <w:color w:val="212121"/>
          <w:sz w:val="22"/>
          <w:szCs w:val="22"/>
        </w:rPr>
        <w:t>Shared Governance Report Out</w:t>
      </w:r>
    </w:p>
    <w:p w:rsidR="00900626" w:rsidRDefault="00692DE9">
      <w:pPr>
        <w:numPr>
          <w:ilvl w:val="0"/>
          <w:numId w:val="2"/>
        </w:numPr>
        <w:shd w:val="clear" w:color="auto" w:fill="FFFFFF"/>
        <w:rPr>
          <w:color w:val="212121"/>
          <w:sz w:val="22"/>
          <w:szCs w:val="22"/>
        </w:rPr>
      </w:pPr>
      <w:r>
        <w:rPr>
          <w:color w:val="212121"/>
          <w:sz w:val="22"/>
          <w:szCs w:val="22"/>
        </w:rPr>
        <w:t>SCEP Development- Review draft, gap statements</w:t>
      </w:r>
    </w:p>
    <w:p w:rsidR="00900626" w:rsidRDefault="00692DE9">
      <w:pPr>
        <w:numPr>
          <w:ilvl w:val="0"/>
          <w:numId w:val="2"/>
        </w:numPr>
        <w:shd w:val="clear" w:color="auto" w:fill="FFFFFF"/>
        <w:rPr>
          <w:color w:val="212121"/>
          <w:sz w:val="22"/>
          <w:szCs w:val="22"/>
        </w:rPr>
      </w:pPr>
      <w:r>
        <w:rPr>
          <w:color w:val="212121"/>
          <w:sz w:val="22"/>
          <w:szCs w:val="22"/>
        </w:rPr>
        <w:t>Voluntary Transfer Process</w:t>
      </w:r>
    </w:p>
    <w:p w:rsidR="00900626" w:rsidRDefault="00692DE9">
      <w:pPr>
        <w:numPr>
          <w:ilvl w:val="0"/>
          <w:numId w:val="2"/>
        </w:numPr>
        <w:shd w:val="clear" w:color="auto" w:fill="FFFFFF"/>
        <w:rPr>
          <w:color w:val="212121"/>
          <w:sz w:val="22"/>
          <w:szCs w:val="22"/>
        </w:rPr>
      </w:pPr>
      <w:r>
        <w:rPr>
          <w:color w:val="212121"/>
          <w:sz w:val="22"/>
          <w:szCs w:val="22"/>
        </w:rPr>
        <w:t>Job Share</w:t>
      </w:r>
    </w:p>
    <w:p w:rsidR="00900626" w:rsidRDefault="00900626">
      <w:pPr>
        <w:ind w:left="720"/>
        <w:rPr>
          <w:rFonts w:ascii="Calibri" w:eastAsia="Calibri" w:hAnsi="Calibri" w:cs="Calibri"/>
          <w:b/>
          <w:color w:val="212121"/>
          <w:sz w:val="22"/>
          <w:szCs w:val="22"/>
        </w:rPr>
      </w:pPr>
    </w:p>
    <w:tbl>
      <w:tblPr>
        <w:tblStyle w:val="a"/>
        <w:tblW w:w="13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4"/>
        <w:gridCol w:w="3240"/>
        <w:gridCol w:w="3240"/>
        <w:gridCol w:w="1368"/>
      </w:tblGrid>
      <w:tr w:rsidR="00900626">
        <w:trPr>
          <w:jc w:val="center"/>
        </w:trPr>
        <w:tc>
          <w:tcPr>
            <w:tcW w:w="5594" w:type="dxa"/>
          </w:tcPr>
          <w:p w:rsidR="00900626" w:rsidRDefault="00692DE9">
            <w:pPr>
              <w:pBdr>
                <w:top w:val="nil"/>
                <w:left w:val="nil"/>
                <w:bottom w:val="nil"/>
                <w:right w:val="nil"/>
                <w:between w:val="nil"/>
              </w:pBdr>
              <w:jc w:val="center"/>
            </w:pPr>
            <w:r>
              <w:rPr>
                <w:b/>
                <w:sz w:val="28"/>
                <w:szCs w:val="28"/>
              </w:rPr>
              <w:t>Action/Activity</w:t>
            </w:r>
          </w:p>
        </w:tc>
        <w:tc>
          <w:tcPr>
            <w:tcW w:w="3240" w:type="dxa"/>
          </w:tcPr>
          <w:p w:rsidR="00900626" w:rsidRDefault="00692DE9">
            <w:pPr>
              <w:pBdr>
                <w:top w:val="nil"/>
                <w:left w:val="nil"/>
                <w:bottom w:val="nil"/>
                <w:right w:val="nil"/>
                <w:between w:val="nil"/>
              </w:pBdr>
              <w:jc w:val="center"/>
            </w:pPr>
            <w:r>
              <w:rPr>
                <w:b/>
                <w:sz w:val="28"/>
                <w:szCs w:val="28"/>
              </w:rPr>
              <w:t>Person Responsible</w:t>
            </w:r>
          </w:p>
        </w:tc>
        <w:tc>
          <w:tcPr>
            <w:tcW w:w="3240" w:type="dxa"/>
          </w:tcPr>
          <w:p w:rsidR="00900626" w:rsidRDefault="00692DE9">
            <w:pPr>
              <w:pBdr>
                <w:top w:val="nil"/>
                <w:left w:val="nil"/>
                <w:bottom w:val="nil"/>
                <w:right w:val="nil"/>
                <w:between w:val="nil"/>
              </w:pBdr>
              <w:jc w:val="center"/>
            </w:pPr>
            <w:r>
              <w:rPr>
                <w:b/>
                <w:sz w:val="28"/>
                <w:szCs w:val="28"/>
              </w:rPr>
              <w:t>Target Dates</w:t>
            </w:r>
          </w:p>
        </w:tc>
        <w:tc>
          <w:tcPr>
            <w:tcW w:w="1368" w:type="dxa"/>
          </w:tcPr>
          <w:p w:rsidR="00900626" w:rsidRDefault="00692DE9">
            <w:pPr>
              <w:pBdr>
                <w:top w:val="nil"/>
                <w:left w:val="nil"/>
                <w:bottom w:val="nil"/>
                <w:right w:val="nil"/>
                <w:between w:val="nil"/>
              </w:pBdr>
              <w:jc w:val="center"/>
            </w:pPr>
            <w:r>
              <w:rPr>
                <w:b/>
                <w:sz w:val="28"/>
                <w:szCs w:val="28"/>
              </w:rPr>
              <w:t>Status</w:t>
            </w:r>
          </w:p>
        </w:tc>
      </w:tr>
      <w:tr w:rsidR="00900626">
        <w:trPr>
          <w:trHeight w:val="680"/>
          <w:jc w:val="center"/>
        </w:trPr>
        <w:tc>
          <w:tcPr>
            <w:tcW w:w="5594" w:type="dxa"/>
          </w:tcPr>
          <w:p w:rsidR="00900626" w:rsidRDefault="00692DE9">
            <w:pPr>
              <w:pBdr>
                <w:top w:val="nil"/>
                <w:left w:val="nil"/>
                <w:bottom w:val="nil"/>
                <w:right w:val="nil"/>
                <w:between w:val="nil"/>
              </w:pBdr>
            </w:pPr>
            <w:r>
              <w:t>PD Request Approvals- There are none at this time.</w:t>
            </w:r>
          </w:p>
        </w:tc>
        <w:tc>
          <w:tcPr>
            <w:tcW w:w="3240" w:type="dxa"/>
          </w:tcPr>
          <w:p w:rsidR="00900626" w:rsidRDefault="00900626">
            <w:pPr>
              <w:pBdr>
                <w:top w:val="nil"/>
                <w:left w:val="nil"/>
                <w:bottom w:val="nil"/>
                <w:right w:val="nil"/>
                <w:between w:val="nil"/>
              </w:pBdr>
            </w:pPr>
          </w:p>
        </w:tc>
        <w:tc>
          <w:tcPr>
            <w:tcW w:w="3240" w:type="dxa"/>
          </w:tcPr>
          <w:p w:rsidR="00900626" w:rsidRDefault="00900626">
            <w:pPr>
              <w:pBdr>
                <w:top w:val="nil"/>
                <w:left w:val="nil"/>
                <w:bottom w:val="nil"/>
                <w:right w:val="nil"/>
                <w:between w:val="nil"/>
              </w:pBdr>
            </w:pPr>
          </w:p>
        </w:tc>
        <w:tc>
          <w:tcPr>
            <w:tcW w:w="1368" w:type="dxa"/>
          </w:tcPr>
          <w:p w:rsidR="00900626" w:rsidRDefault="00900626">
            <w:pPr>
              <w:pBdr>
                <w:top w:val="nil"/>
                <w:left w:val="nil"/>
                <w:bottom w:val="nil"/>
                <w:right w:val="nil"/>
                <w:between w:val="nil"/>
              </w:pBdr>
            </w:pPr>
          </w:p>
        </w:tc>
      </w:tr>
      <w:tr w:rsidR="00900626">
        <w:trPr>
          <w:trHeight w:val="1020"/>
          <w:jc w:val="center"/>
        </w:trPr>
        <w:tc>
          <w:tcPr>
            <w:tcW w:w="5594" w:type="dxa"/>
          </w:tcPr>
          <w:p w:rsidR="00900626" w:rsidRDefault="00692DE9">
            <w:r>
              <w:t>Shared Governance Report Out-</w:t>
            </w:r>
          </w:p>
          <w:p w:rsidR="00900626" w:rsidRDefault="00692DE9">
            <w:r>
              <w:t>Social Excellence will be in charge of the End of Year picnic.</w:t>
            </w:r>
          </w:p>
        </w:tc>
        <w:tc>
          <w:tcPr>
            <w:tcW w:w="3240" w:type="dxa"/>
          </w:tcPr>
          <w:p w:rsidR="00900626" w:rsidRDefault="00900626">
            <w:pPr>
              <w:pBdr>
                <w:top w:val="nil"/>
                <w:left w:val="nil"/>
                <w:bottom w:val="nil"/>
                <w:right w:val="nil"/>
                <w:between w:val="nil"/>
              </w:pBdr>
            </w:pPr>
          </w:p>
          <w:p w:rsidR="00900626" w:rsidRDefault="00900626">
            <w:pPr>
              <w:pBdr>
                <w:top w:val="nil"/>
                <w:left w:val="nil"/>
                <w:bottom w:val="nil"/>
                <w:right w:val="nil"/>
                <w:between w:val="nil"/>
              </w:pBdr>
            </w:pPr>
          </w:p>
          <w:p w:rsidR="00900626" w:rsidRDefault="00900626">
            <w:pPr>
              <w:pBdr>
                <w:top w:val="nil"/>
                <w:left w:val="nil"/>
                <w:bottom w:val="nil"/>
                <w:right w:val="nil"/>
                <w:between w:val="nil"/>
              </w:pBdr>
            </w:pPr>
          </w:p>
          <w:p w:rsidR="00900626" w:rsidRDefault="00900626">
            <w:pPr>
              <w:pBdr>
                <w:top w:val="nil"/>
                <w:left w:val="nil"/>
                <w:bottom w:val="nil"/>
                <w:right w:val="nil"/>
                <w:between w:val="nil"/>
              </w:pBdr>
            </w:pPr>
          </w:p>
          <w:p w:rsidR="00900626" w:rsidRDefault="00900626">
            <w:pPr>
              <w:pBdr>
                <w:top w:val="nil"/>
                <w:left w:val="nil"/>
                <w:bottom w:val="nil"/>
                <w:right w:val="nil"/>
                <w:between w:val="nil"/>
              </w:pBdr>
            </w:pPr>
          </w:p>
        </w:tc>
        <w:tc>
          <w:tcPr>
            <w:tcW w:w="3240" w:type="dxa"/>
          </w:tcPr>
          <w:p w:rsidR="00900626" w:rsidRDefault="00900626">
            <w:pPr>
              <w:pBdr>
                <w:top w:val="nil"/>
                <w:left w:val="nil"/>
                <w:bottom w:val="nil"/>
                <w:right w:val="nil"/>
                <w:between w:val="nil"/>
              </w:pBdr>
            </w:pPr>
          </w:p>
        </w:tc>
        <w:tc>
          <w:tcPr>
            <w:tcW w:w="1368" w:type="dxa"/>
          </w:tcPr>
          <w:p w:rsidR="00900626" w:rsidRDefault="00900626">
            <w:pPr>
              <w:pBdr>
                <w:top w:val="nil"/>
                <w:left w:val="nil"/>
                <w:bottom w:val="nil"/>
                <w:right w:val="nil"/>
                <w:between w:val="nil"/>
              </w:pBdr>
            </w:pPr>
          </w:p>
        </w:tc>
      </w:tr>
      <w:tr w:rsidR="00900626">
        <w:trPr>
          <w:jc w:val="center"/>
        </w:trPr>
        <w:tc>
          <w:tcPr>
            <w:tcW w:w="5594" w:type="dxa"/>
          </w:tcPr>
          <w:p w:rsidR="00900626" w:rsidRDefault="00692DE9">
            <w:r>
              <w:t>Voluntary Process Procedure- Window closes May 3rd. Interviews need to happen the week after break. Dates are Tuesday, April 23rd-Tuesday, April 30th. There are a potential opening for a general education teacher, a special education teacher and a physical</w:t>
            </w:r>
            <w:r>
              <w:t xml:space="preserve"> education teacher. We have 259 applicants. </w:t>
            </w:r>
          </w:p>
          <w:p w:rsidR="00900626" w:rsidRDefault="00692DE9">
            <w:r>
              <w:t xml:space="preserve">4/24: P.E.- Patricia, Jenn, Eileen, Joanne, </w:t>
            </w:r>
            <w:proofErr w:type="spellStart"/>
            <w:r>
              <w:t>Aprille</w:t>
            </w:r>
            <w:proofErr w:type="spellEnd"/>
            <w:r>
              <w:t xml:space="preserve">, Ms. King, </w:t>
            </w:r>
            <w:proofErr w:type="spellStart"/>
            <w:r>
              <w:t>Buonomo</w:t>
            </w:r>
            <w:proofErr w:type="spellEnd"/>
          </w:p>
          <w:p w:rsidR="00900626" w:rsidRDefault="00692DE9">
            <w:r>
              <w:t xml:space="preserve">4/25: SPED- 2 teams of 3- Joanne, </w:t>
            </w:r>
            <w:proofErr w:type="spellStart"/>
            <w:r>
              <w:t>Aprille</w:t>
            </w:r>
            <w:proofErr w:type="spellEnd"/>
            <w:r>
              <w:t>, Eileen, Lisa Clayton</w:t>
            </w:r>
          </w:p>
          <w:p w:rsidR="00900626" w:rsidRDefault="00692DE9">
            <w:r>
              <w:t xml:space="preserve">4/25: Gen. Ed- King, </w:t>
            </w:r>
            <w:proofErr w:type="spellStart"/>
            <w:r>
              <w:t>Rothfuss</w:t>
            </w:r>
            <w:proofErr w:type="spellEnd"/>
            <w:r>
              <w:t>, John, McKinney</w:t>
            </w:r>
          </w:p>
          <w:p w:rsidR="00900626" w:rsidRDefault="00692DE9">
            <w:r>
              <w:t>4/30: Alternate day</w:t>
            </w:r>
          </w:p>
        </w:tc>
        <w:tc>
          <w:tcPr>
            <w:tcW w:w="3240" w:type="dxa"/>
          </w:tcPr>
          <w:p w:rsidR="00900626" w:rsidRDefault="00900626">
            <w:pPr>
              <w:pBdr>
                <w:top w:val="nil"/>
                <w:left w:val="nil"/>
                <w:bottom w:val="nil"/>
                <w:right w:val="nil"/>
                <w:between w:val="nil"/>
              </w:pBdr>
            </w:pPr>
          </w:p>
        </w:tc>
        <w:tc>
          <w:tcPr>
            <w:tcW w:w="3240" w:type="dxa"/>
          </w:tcPr>
          <w:p w:rsidR="00900626" w:rsidRDefault="00900626">
            <w:pPr>
              <w:pBdr>
                <w:top w:val="nil"/>
                <w:left w:val="nil"/>
                <w:bottom w:val="nil"/>
                <w:right w:val="nil"/>
                <w:between w:val="nil"/>
              </w:pBdr>
            </w:pPr>
          </w:p>
        </w:tc>
        <w:tc>
          <w:tcPr>
            <w:tcW w:w="1368" w:type="dxa"/>
          </w:tcPr>
          <w:p w:rsidR="00900626" w:rsidRDefault="00900626">
            <w:pPr>
              <w:pBdr>
                <w:top w:val="nil"/>
                <w:left w:val="nil"/>
                <w:bottom w:val="nil"/>
                <w:right w:val="nil"/>
                <w:between w:val="nil"/>
              </w:pBdr>
            </w:pPr>
          </w:p>
        </w:tc>
      </w:tr>
      <w:tr w:rsidR="00900626">
        <w:trPr>
          <w:jc w:val="center"/>
        </w:trPr>
        <w:tc>
          <w:tcPr>
            <w:tcW w:w="5594" w:type="dxa"/>
          </w:tcPr>
          <w:p w:rsidR="00900626" w:rsidRDefault="00692DE9">
            <w:r>
              <w:t xml:space="preserve">SCEP Development: </w:t>
            </w:r>
          </w:p>
          <w:p w:rsidR="00900626" w:rsidRDefault="00692DE9">
            <w:r>
              <w:t>Tenet 3: Curriculum Development and Support</w:t>
            </w:r>
          </w:p>
          <w:p w:rsidR="00900626" w:rsidRDefault="00692DE9">
            <w:r>
              <w:t>Gap Statement: 2019 NWEA and 2018 NYS Assessment Data (K-6) demonstrates a significant disparity between the performance of African American and White students. African American students repres</w:t>
            </w:r>
            <w:r>
              <w:t xml:space="preserve">ent the largest student population at FP </w:t>
            </w:r>
            <w:r>
              <w:lastRenderedPageBreak/>
              <w:t>23, but white students are outperforming African American students in both ELA and Math.</w:t>
            </w:r>
          </w:p>
          <w:p w:rsidR="00900626" w:rsidRDefault="00900626"/>
          <w:p w:rsidR="00900626" w:rsidRDefault="00692DE9">
            <w:r>
              <w:t>Goal Statement: By June 2020 African American student proficiency at each grade level will be within 10% of white student pro</w:t>
            </w:r>
            <w:r>
              <w:t>ficiency on NWEA data. The school will use NWEA benchmark data beginning with Fall 2019 to monitor student performance.</w:t>
            </w:r>
          </w:p>
          <w:p w:rsidR="00900626" w:rsidRDefault="00900626"/>
          <w:p w:rsidR="00900626" w:rsidRDefault="00692DE9">
            <w:r>
              <w:t>Tenet 4: Teacher Practices and Decisions</w:t>
            </w:r>
          </w:p>
          <w:p w:rsidR="00900626" w:rsidRDefault="00692DE9">
            <w:r>
              <w:t>Gap Statement: 2019 NWEA and 2018 NYS Assessment Data (K-6) demonstrates a significant dispari</w:t>
            </w:r>
            <w:r>
              <w:t>ty between the performance of African American and White students. African American students represent the largest student population at FP 23, but white students are outperforming African American students in both ELA and Math.</w:t>
            </w:r>
          </w:p>
          <w:p w:rsidR="00900626" w:rsidRDefault="00900626"/>
          <w:p w:rsidR="00900626" w:rsidRDefault="00692DE9">
            <w:r>
              <w:t>Goal Statement: During the</w:t>
            </w:r>
            <w:r>
              <w:t xml:space="preserve"> 2019-2020 SY all of Francis Parker educations will have deep understanding of Culturally Responsive Pedagogy to include practices identified as Anti-Racist and Emancipatory. These practices will be demonstrated in their teaching as observed by their peers</w:t>
            </w:r>
            <w:r>
              <w:t xml:space="preserve"> and administration.</w:t>
            </w:r>
          </w:p>
          <w:p w:rsidR="00900626" w:rsidRDefault="00900626"/>
          <w:p w:rsidR="00900626" w:rsidRDefault="00692DE9">
            <w:r>
              <w:t>Tenet 5: Student Social Emotional Development Health</w:t>
            </w:r>
          </w:p>
          <w:p w:rsidR="00900626" w:rsidRDefault="00692DE9">
            <w:r>
              <w:t>Gap Statement: Based on school year 18-19 suspension/incident data the school has a disproportionate rate of students with disabilities suspended from school with the following rate</w:t>
            </w:r>
            <w:r>
              <w:t xml:space="preserve">s identified: General Education 12% and Students with Disabilities 87.5% of suspension; this results in students with disabilities losing classroom instruction creating more of an achievement gap. </w:t>
            </w:r>
          </w:p>
          <w:p w:rsidR="00900626" w:rsidRDefault="00900626"/>
          <w:p w:rsidR="00900626" w:rsidRDefault="00692DE9">
            <w:r>
              <w:t>Goal Statement: By September 2019 the school will use con</w:t>
            </w:r>
            <w:r>
              <w:t>sistent school wide positive behavior supports and interventions will be in place and monitored.</w:t>
            </w:r>
          </w:p>
          <w:p w:rsidR="00900626" w:rsidRDefault="00900626"/>
          <w:p w:rsidR="00900626" w:rsidRDefault="00692DE9">
            <w:r>
              <w:t>Tenet 6: Family and Community Engagement</w:t>
            </w:r>
          </w:p>
          <w:p w:rsidR="00900626" w:rsidRDefault="00692DE9">
            <w:r>
              <w:lastRenderedPageBreak/>
              <w:t xml:space="preserve"> Parent feedback through surveys and verbally indicate that there is inconsistent communication from educators about </w:t>
            </w:r>
            <w:r>
              <w:t>academic performance of their children. This inconsistency has caused some parents to feel as though they are not informed about concerns early enough and not able to help address it.</w:t>
            </w:r>
          </w:p>
          <w:p w:rsidR="00900626" w:rsidRDefault="00900626"/>
          <w:p w:rsidR="00900626" w:rsidRDefault="00692DE9">
            <w:r>
              <w:t>Goal Statement</w:t>
            </w:r>
            <w:proofErr w:type="gramStart"/>
            <w:r>
              <w:t>: ??</w:t>
            </w:r>
            <w:proofErr w:type="gramEnd"/>
          </w:p>
          <w:p w:rsidR="00900626" w:rsidRDefault="00900626"/>
          <w:p w:rsidR="00900626" w:rsidRDefault="00692DE9">
            <w:r>
              <w:t>J. Gonzalez will send out a Google Form for SBPT to provide feedback and input.</w:t>
            </w:r>
          </w:p>
        </w:tc>
        <w:tc>
          <w:tcPr>
            <w:tcW w:w="3240" w:type="dxa"/>
          </w:tcPr>
          <w:p w:rsidR="00900626" w:rsidRDefault="00900626">
            <w:pPr>
              <w:pBdr>
                <w:top w:val="nil"/>
                <w:left w:val="nil"/>
                <w:bottom w:val="nil"/>
                <w:right w:val="nil"/>
                <w:between w:val="nil"/>
              </w:pBdr>
            </w:pPr>
          </w:p>
        </w:tc>
        <w:tc>
          <w:tcPr>
            <w:tcW w:w="3240" w:type="dxa"/>
          </w:tcPr>
          <w:p w:rsidR="00900626" w:rsidRDefault="00900626">
            <w:pPr>
              <w:pBdr>
                <w:top w:val="nil"/>
                <w:left w:val="nil"/>
                <w:bottom w:val="nil"/>
                <w:right w:val="nil"/>
                <w:between w:val="nil"/>
              </w:pBdr>
            </w:pPr>
          </w:p>
        </w:tc>
        <w:tc>
          <w:tcPr>
            <w:tcW w:w="1368" w:type="dxa"/>
          </w:tcPr>
          <w:p w:rsidR="00900626" w:rsidRDefault="00900626">
            <w:pPr>
              <w:pBdr>
                <w:top w:val="nil"/>
                <w:left w:val="nil"/>
                <w:bottom w:val="nil"/>
                <w:right w:val="nil"/>
                <w:between w:val="nil"/>
              </w:pBdr>
            </w:pPr>
          </w:p>
        </w:tc>
      </w:tr>
    </w:tbl>
    <w:p w:rsidR="00900626" w:rsidRDefault="00900626">
      <w:pPr>
        <w:pBdr>
          <w:top w:val="nil"/>
          <w:left w:val="nil"/>
          <w:bottom w:val="nil"/>
          <w:right w:val="nil"/>
          <w:between w:val="nil"/>
        </w:pBdr>
        <w:rPr>
          <w:sz w:val="28"/>
          <w:szCs w:val="28"/>
        </w:rPr>
      </w:pPr>
    </w:p>
    <w:p w:rsidR="00900626" w:rsidRDefault="00692DE9">
      <w:pPr>
        <w:pBdr>
          <w:top w:val="nil"/>
          <w:left w:val="nil"/>
          <w:bottom w:val="nil"/>
          <w:right w:val="nil"/>
          <w:between w:val="nil"/>
        </w:pBdr>
        <w:rPr>
          <w:sz w:val="20"/>
          <w:szCs w:val="20"/>
        </w:rPr>
      </w:pPr>
      <w:r>
        <w:rPr>
          <w:sz w:val="20"/>
          <w:szCs w:val="20"/>
        </w:rPr>
        <w:t>Next meeting:  May 7th at 3:15-4:15</w:t>
      </w:r>
    </w:p>
    <w:p w:rsidR="00900626" w:rsidRDefault="00900626">
      <w:pPr>
        <w:pBdr>
          <w:top w:val="nil"/>
          <w:left w:val="nil"/>
          <w:bottom w:val="nil"/>
          <w:right w:val="nil"/>
          <w:between w:val="nil"/>
        </w:pBdr>
        <w:rPr>
          <w:sz w:val="20"/>
          <w:szCs w:val="20"/>
        </w:rPr>
      </w:pPr>
    </w:p>
    <w:p w:rsidR="00900626" w:rsidRDefault="00692DE9">
      <w:pPr>
        <w:pBdr>
          <w:top w:val="nil"/>
          <w:left w:val="nil"/>
          <w:bottom w:val="nil"/>
          <w:right w:val="nil"/>
          <w:between w:val="nil"/>
        </w:pBdr>
        <w:rPr>
          <w:sz w:val="20"/>
          <w:szCs w:val="20"/>
        </w:rPr>
      </w:pPr>
      <w:r>
        <w:rPr>
          <w:sz w:val="20"/>
          <w:szCs w:val="20"/>
        </w:rPr>
        <w:t xml:space="preserve">Agenda: </w:t>
      </w:r>
    </w:p>
    <w:p w:rsidR="00900626" w:rsidRDefault="00900626">
      <w:pPr>
        <w:numPr>
          <w:ilvl w:val="0"/>
          <w:numId w:val="1"/>
        </w:numPr>
        <w:pBdr>
          <w:top w:val="nil"/>
          <w:left w:val="nil"/>
          <w:bottom w:val="nil"/>
          <w:right w:val="nil"/>
          <w:between w:val="nil"/>
        </w:pBdr>
        <w:rPr>
          <w:sz w:val="20"/>
          <w:szCs w:val="20"/>
        </w:rPr>
      </w:pPr>
    </w:p>
    <w:sectPr w:rsidR="00900626">
      <w:pgSz w:w="15840" w:h="12240"/>
      <w:pgMar w:top="720" w:right="1440" w:bottom="18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6F65"/>
    <w:multiLevelType w:val="multilevel"/>
    <w:tmpl w:val="A6080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A72C4C"/>
    <w:multiLevelType w:val="multilevel"/>
    <w:tmpl w:val="25FA5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626"/>
    <w:rsid w:val="00137357"/>
    <w:rsid w:val="00692DE9"/>
    <w:rsid w:val="0090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582B"/>
  <w15:docId w15:val="{2B0F868F-B688-4601-9599-5F7CAE34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color w:val="000000"/>
      <w:sz w:val="48"/>
      <w:szCs w:val="48"/>
    </w:rPr>
  </w:style>
  <w:style w:type="paragraph" w:styleId="Heading2">
    <w:name w:val="heading 2"/>
    <w:basedOn w:val="Normal"/>
    <w:next w:val="Normal"/>
    <w:pPr>
      <w:keepNext/>
      <w:keepLines/>
      <w:spacing w:before="360" w:after="80"/>
      <w:outlineLvl w:val="1"/>
    </w:pPr>
    <w:rPr>
      <w:b/>
      <w:color w:val="000000"/>
      <w:sz w:val="36"/>
      <w:szCs w:val="36"/>
    </w:rPr>
  </w:style>
  <w:style w:type="paragraph" w:styleId="Heading3">
    <w:name w:val="heading 3"/>
    <w:basedOn w:val="Normal"/>
    <w:next w:val="Normal"/>
    <w:pPr>
      <w:keepNext/>
      <w:keepLines/>
      <w:spacing w:before="240" w:after="60"/>
      <w:outlineLvl w:val="2"/>
    </w:pPr>
    <w:rPr>
      <w:rFonts w:ascii="Arial" w:eastAsia="Arial" w:hAnsi="Arial" w:cs="Arial"/>
      <w:b/>
      <w:color w:val="000000"/>
      <w:sz w:val="26"/>
      <w:szCs w:val="26"/>
    </w:rPr>
  </w:style>
  <w:style w:type="paragraph" w:styleId="Heading4">
    <w:name w:val="heading 4"/>
    <w:basedOn w:val="Normal"/>
    <w:next w:val="Normal"/>
    <w:pPr>
      <w:keepNext/>
      <w:keepLines/>
      <w:spacing w:before="240" w:after="4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Swick, Joanne</dc:creator>
  <cp:lastModifiedBy>Swick, Joanne</cp:lastModifiedBy>
  <cp:revision>4</cp:revision>
  <dcterms:created xsi:type="dcterms:W3CDTF">2019-04-10T11:22:00Z</dcterms:created>
  <dcterms:modified xsi:type="dcterms:W3CDTF">2019-04-10T11:23:00Z</dcterms:modified>
</cp:coreProperties>
</file>