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227E" w:rsidRDefault="00CE7A84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School Based Action Plan Team Meeting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7753350</wp:posOffset>
            </wp:positionH>
            <wp:positionV relativeFrom="paragraph">
              <wp:posOffset>0</wp:posOffset>
            </wp:positionV>
            <wp:extent cx="1147763" cy="13430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-17164"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A227E" w:rsidRDefault="00CE7A84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b/>
          <w:sz w:val="32"/>
          <w:szCs w:val="32"/>
        </w:rPr>
        <w:t>Date: May 7, 2019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7915275</wp:posOffset>
            </wp:positionH>
            <wp:positionV relativeFrom="paragraph">
              <wp:posOffset>123825</wp:posOffset>
            </wp:positionV>
            <wp:extent cx="828040" cy="82804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A227E" w:rsidRDefault="00CE7A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Present: Gonzalez, Hurwitz, Burton,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Buonomo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Swick, Clayton, McKinney, Ms. King, Ms. Weaver, Ms.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Kirton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C.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Carello</w:t>
      </w:r>
      <w:proofErr w:type="spellEnd"/>
      <w:r>
        <w:rPr>
          <w:rFonts w:ascii="Arial" w:eastAsia="Arial" w:hAnsi="Arial" w:cs="Arial"/>
          <w:b/>
          <w:sz w:val="32"/>
          <w:szCs w:val="32"/>
        </w:rPr>
        <w:t>, E. Palumbo</w:t>
      </w:r>
    </w:p>
    <w:p w:rsidR="003A227E" w:rsidRDefault="00CE7A84">
      <w:pPr>
        <w:pBdr>
          <w:top w:val="nil"/>
          <w:left w:val="nil"/>
          <w:bottom w:val="nil"/>
          <w:right w:val="nil"/>
          <w:between w:val="nil"/>
        </w:pBdr>
        <w:rPr>
          <w:color w:val="2121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Agenda Items: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3A227E" w:rsidRDefault="00CE7A84">
      <w:pPr>
        <w:numPr>
          <w:ilvl w:val="0"/>
          <w:numId w:val="2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Welcome our new members</w:t>
      </w:r>
    </w:p>
    <w:p w:rsidR="003A227E" w:rsidRDefault="00CE7A84">
      <w:pPr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>Shared Governance Report Out</w:t>
      </w:r>
    </w:p>
    <w:p w:rsidR="003A227E" w:rsidRDefault="00CE7A84">
      <w:pPr>
        <w:numPr>
          <w:ilvl w:val="0"/>
          <w:numId w:val="2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Job Share Proposal</w:t>
      </w:r>
    </w:p>
    <w:p w:rsidR="003A227E" w:rsidRDefault="00CE7A84">
      <w:pPr>
        <w:numPr>
          <w:ilvl w:val="0"/>
          <w:numId w:val="2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Set June meeting date/agenda</w:t>
      </w:r>
    </w:p>
    <w:p w:rsidR="003A227E" w:rsidRDefault="003A227E">
      <w:pPr>
        <w:ind w:left="720"/>
        <w:rPr>
          <w:rFonts w:ascii="Calibri" w:eastAsia="Calibri" w:hAnsi="Calibri" w:cs="Calibri"/>
          <w:b/>
          <w:color w:val="212121"/>
          <w:sz w:val="22"/>
          <w:szCs w:val="22"/>
        </w:rPr>
      </w:pPr>
    </w:p>
    <w:tbl>
      <w:tblPr>
        <w:tblStyle w:val="a"/>
        <w:tblW w:w="13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3240"/>
        <w:gridCol w:w="3240"/>
        <w:gridCol w:w="1368"/>
      </w:tblGrid>
      <w:tr w:rsidR="003A227E">
        <w:trPr>
          <w:jc w:val="center"/>
        </w:trPr>
        <w:tc>
          <w:tcPr>
            <w:tcW w:w="5594" w:type="dxa"/>
          </w:tcPr>
          <w:p w:rsidR="003A227E" w:rsidRDefault="00CE7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Action/Activity</w:t>
            </w:r>
          </w:p>
        </w:tc>
        <w:tc>
          <w:tcPr>
            <w:tcW w:w="3240" w:type="dxa"/>
          </w:tcPr>
          <w:p w:rsidR="003A227E" w:rsidRDefault="00CE7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3240" w:type="dxa"/>
          </w:tcPr>
          <w:p w:rsidR="003A227E" w:rsidRDefault="00CE7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Target Dates</w:t>
            </w:r>
          </w:p>
        </w:tc>
        <w:tc>
          <w:tcPr>
            <w:tcW w:w="1368" w:type="dxa"/>
          </w:tcPr>
          <w:p w:rsidR="003A227E" w:rsidRDefault="00CE7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Status</w:t>
            </w:r>
          </w:p>
        </w:tc>
      </w:tr>
      <w:tr w:rsidR="003A227E">
        <w:trPr>
          <w:trHeight w:val="680"/>
          <w:jc w:val="center"/>
        </w:trPr>
        <w:tc>
          <w:tcPr>
            <w:tcW w:w="5594" w:type="dxa"/>
          </w:tcPr>
          <w:p w:rsidR="003A227E" w:rsidRDefault="00CE7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Welcome new members:</w:t>
            </w:r>
          </w:p>
          <w:p w:rsidR="003A227E" w:rsidRDefault="00CE7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We welcomed Ms. Weaver and Ms. </w:t>
            </w:r>
            <w:proofErr w:type="spellStart"/>
            <w:r>
              <w:t>Kirton</w:t>
            </w:r>
            <w:proofErr w:type="spellEnd"/>
            <w:r>
              <w:t xml:space="preserve">. Parents are voted on to serve a 2 year term. We discussed the purpose of this team, shared governance teams </w:t>
            </w:r>
          </w:p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A227E">
        <w:trPr>
          <w:jc w:val="center"/>
        </w:trPr>
        <w:tc>
          <w:tcPr>
            <w:tcW w:w="5594" w:type="dxa"/>
          </w:tcPr>
          <w:p w:rsidR="003A227E" w:rsidRDefault="00CE7A84">
            <w:r>
              <w:t>Shared Governance Report Out:</w:t>
            </w:r>
          </w:p>
          <w:p w:rsidR="003A227E" w:rsidRDefault="00CE7A84">
            <w:r>
              <w:t>Rigorous Academics- Math Night and Snuggle Up and Read and talked about changes for next year</w:t>
            </w:r>
          </w:p>
          <w:p w:rsidR="003A227E" w:rsidRDefault="00CE7A84">
            <w:r>
              <w:t>Engaging Learning- PBL showcases; looking for more student presentations and inviting families in more and getting out to the community more</w:t>
            </w:r>
          </w:p>
          <w:p w:rsidR="003A227E" w:rsidRDefault="00CE7A84">
            <w:r>
              <w:t>Authentic Relationshi</w:t>
            </w:r>
            <w:r>
              <w:t>ps- Tasked with parent/family surveys, Piece of Africa night, Latin America Heritage Month</w:t>
            </w:r>
          </w:p>
          <w:p w:rsidR="003A227E" w:rsidRDefault="00CE7A84">
            <w:r>
              <w:t>Social Excellence- Year End Family Picnic will be held here at school on June 24th, including uniform exchange</w:t>
            </w:r>
          </w:p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A227E">
        <w:trPr>
          <w:jc w:val="center"/>
        </w:trPr>
        <w:tc>
          <w:tcPr>
            <w:tcW w:w="5594" w:type="dxa"/>
          </w:tcPr>
          <w:p w:rsidR="003A227E" w:rsidRDefault="00CE7A84">
            <w:r>
              <w:t>Job Share Proposal:</w:t>
            </w:r>
          </w:p>
          <w:p w:rsidR="003A227E" w:rsidRDefault="00CE7A84">
            <w:r>
              <w:t xml:space="preserve">Caroline </w:t>
            </w:r>
            <w:proofErr w:type="spellStart"/>
            <w:r>
              <w:t>Carello</w:t>
            </w:r>
            <w:proofErr w:type="spellEnd"/>
            <w:r>
              <w:t xml:space="preserve"> and Esther Palumbo would like to job share again next year. Ms. </w:t>
            </w:r>
            <w:proofErr w:type="spellStart"/>
            <w:r>
              <w:t>Kirton</w:t>
            </w:r>
            <w:proofErr w:type="spellEnd"/>
            <w:r>
              <w:t xml:space="preserve"> suggested giving the students a survey to see how they feel about having 2 teachers. J. Gonzalez shared J. </w:t>
            </w:r>
            <w:proofErr w:type="spellStart"/>
            <w:r>
              <w:t>Rothfuss’s</w:t>
            </w:r>
            <w:proofErr w:type="spellEnd"/>
            <w:r>
              <w:t xml:space="preserve"> opinions. There is a contingency that Caroline is </w:t>
            </w:r>
            <w:r>
              <w:t>willing to be in a full time position while Esther is on maternity leave.</w:t>
            </w:r>
          </w:p>
          <w:p w:rsidR="003A227E" w:rsidRDefault="003A227E"/>
          <w:p w:rsidR="003A227E" w:rsidRDefault="00CE7A84">
            <w:proofErr w:type="spellStart"/>
            <w:r>
              <w:t>Carello</w:t>
            </w:r>
            <w:proofErr w:type="spellEnd"/>
            <w:r>
              <w:t xml:space="preserve">/Palumbo shared the students’ opinions on having 2 different teachers, and feedback has been positive. They shared how they communicate with parents. Next issue was concerns </w:t>
            </w:r>
            <w:r>
              <w:t xml:space="preserve">with having a sub </w:t>
            </w:r>
            <w:r>
              <w:lastRenderedPageBreak/>
              <w:t xml:space="preserve">while Esther is out on maternity leave. </w:t>
            </w:r>
            <w:proofErr w:type="spellStart"/>
            <w:r>
              <w:t>Carello</w:t>
            </w:r>
            <w:proofErr w:type="spellEnd"/>
            <w:r>
              <w:t xml:space="preserve"> shared that she would like to continue teaching ELA, </w:t>
            </w:r>
            <w:proofErr w:type="spellStart"/>
            <w:r>
              <w:t>Rothfuss</w:t>
            </w:r>
            <w:proofErr w:type="spellEnd"/>
            <w:r>
              <w:t xml:space="preserve"> continue to teach math/science, and have the sub teach SS and writing. Both teachers offered to assist the sub if necessary.  Ca</w:t>
            </w:r>
            <w:r>
              <w:t xml:space="preserve">roline was asked if she could cover Esther and she is unable to due to her child care situation. They discussed how they would approach a class with strong behaviors.  Student voice is missing and we would like to have an opportunity to survey the current </w:t>
            </w:r>
            <w:r>
              <w:t xml:space="preserve">6th graders.  SBPT will reconvene and make a final decision after we look at student </w:t>
            </w:r>
            <w:proofErr w:type="spellStart"/>
            <w:r>
              <w:t>feedback.We</w:t>
            </w:r>
            <w:proofErr w:type="spellEnd"/>
            <w:r>
              <w:t xml:space="preserve"> will gather on May 15th before the shared governance at 3:15 meeting to discuss this further and hold a vote. A date for the June meeting will be set on May 15</w:t>
            </w:r>
            <w:r>
              <w:t>th.</w:t>
            </w:r>
          </w:p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A227E">
        <w:trPr>
          <w:jc w:val="center"/>
        </w:trPr>
        <w:tc>
          <w:tcPr>
            <w:tcW w:w="5594" w:type="dxa"/>
          </w:tcPr>
          <w:p w:rsidR="003A227E" w:rsidRDefault="003A227E"/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3A227E" w:rsidRDefault="003A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3A227E" w:rsidRDefault="003A227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3A227E" w:rsidRDefault="00CE7A8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Next meeting:  May 15th at 3:15 to vote on job share proposal</w:t>
      </w:r>
    </w:p>
    <w:p w:rsidR="003A227E" w:rsidRDefault="003A227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3A227E" w:rsidRDefault="00CE7A8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Agenda: </w:t>
      </w:r>
    </w:p>
    <w:p w:rsidR="003A227E" w:rsidRDefault="00CE7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Set June meeting date</w:t>
      </w:r>
    </w:p>
    <w:sectPr w:rsidR="003A227E">
      <w:pgSz w:w="15840" w:h="12240"/>
      <w:pgMar w:top="720" w:right="1440" w:bottom="1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51BB"/>
    <w:multiLevelType w:val="multilevel"/>
    <w:tmpl w:val="8F645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AC3579"/>
    <w:multiLevelType w:val="multilevel"/>
    <w:tmpl w:val="24A06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7E"/>
    <w:rsid w:val="003A227E"/>
    <w:rsid w:val="00C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3BD48B-B551-49C6-A2A9-0C7EB79C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Swick, Joanne</dc:creator>
  <cp:lastModifiedBy>Swick, Joanne</cp:lastModifiedBy>
  <cp:revision>2</cp:revision>
  <dcterms:created xsi:type="dcterms:W3CDTF">2019-05-08T12:48:00Z</dcterms:created>
  <dcterms:modified xsi:type="dcterms:W3CDTF">2019-05-08T12:48:00Z</dcterms:modified>
</cp:coreProperties>
</file>