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C0A2D" w14:textId="77777777" w:rsidR="005B3C5F" w:rsidRPr="008E03DF" w:rsidRDefault="005B3C5F">
      <w:pPr>
        <w:widowControl/>
        <w:jc w:val="both"/>
        <w:rPr>
          <w:b/>
          <w:u w:val="single"/>
        </w:rPr>
      </w:pPr>
      <w:r>
        <w:rPr>
          <w:b/>
          <w:u w:val="single"/>
        </w:rPr>
        <w:t xml:space="preserve">5201 </w:t>
      </w:r>
      <w:r w:rsidRPr="008E03DF">
        <w:rPr>
          <w:b/>
          <w:u w:val="single"/>
        </w:rPr>
        <w:t>Promotion and Retention</w:t>
      </w:r>
    </w:p>
    <w:p w14:paraId="0ADF18FF" w14:textId="77777777" w:rsidR="005B3C5F" w:rsidRPr="00E73731" w:rsidRDefault="005B3C5F">
      <w:pPr>
        <w:widowControl/>
        <w:jc w:val="both"/>
        <w:rPr>
          <w:u w:val="single"/>
        </w:rPr>
      </w:pPr>
    </w:p>
    <w:p w14:paraId="2BCEAE67" w14:textId="26756A26" w:rsidR="005B3C5F" w:rsidRDefault="005B3C5F">
      <w:pPr>
        <w:widowControl/>
        <w:jc w:val="both"/>
      </w:pPr>
      <w:r w:rsidRPr="003C38AE">
        <w:t xml:space="preserve">Students will typically progress annually from grade to grade.  A student may be retained at a grade level or be required to repeat a course or program when such is determined in the judgment of the </w:t>
      </w:r>
      <w:r w:rsidR="00522B95">
        <w:t>p</w:t>
      </w:r>
      <w:r>
        <w:t xml:space="preserve">rincipal, in consultation with the student’s parents/guardians, teachers and counselor, </w:t>
      </w:r>
      <w:r w:rsidRPr="003C38AE">
        <w:t xml:space="preserve">to be appropriate for the educational interests of the student </w:t>
      </w:r>
      <w:r>
        <w:t>within</w:t>
      </w:r>
      <w:r w:rsidRPr="003C38AE">
        <w:t xml:space="preserve"> the </w:t>
      </w:r>
      <w:r>
        <w:t xml:space="preserve">school’s </w:t>
      </w:r>
      <w:r w:rsidRPr="003C38AE">
        <w:t>educational program.</w:t>
      </w:r>
      <w:r w:rsidR="000E334B">
        <w:t xml:space="preserve"> When retention is being considered for a student that receives special education services, </w:t>
      </w:r>
      <w:r w:rsidR="00522B95">
        <w:t>a special education administrator and other special educators on the</w:t>
      </w:r>
      <w:r w:rsidR="000E334B">
        <w:t xml:space="preserve"> student’s individualized education plan (IEP) team</w:t>
      </w:r>
      <w:r w:rsidR="00522B95">
        <w:t xml:space="preserve"> shall be involved in discussion about retention for the student, with the final determination being made by the principal and special education administrator</w:t>
      </w:r>
      <w:r w:rsidR="000E334B">
        <w:t>.</w:t>
      </w:r>
      <w:r w:rsidR="00522B95">
        <w:t xml:space="preserve"> If the principal and special education administrator cannot agree on a final determination, the matter shall be referred to the superintendent.</w:t>
      </w:r>
    </w:p>
    <w:p w14:paraId="33056F00" w14:textId="77777777" w:rsidR="005B3C5F" w:rsidRDefault="005B3C5F">
      <w:pPr>
        <w:widowControl/>
        <w:jc w:val="both"/>
      </w:pPr>
    </w:p>
    <w:p w14:paraId="728014B6" w14:textId="717D0B2A" w:rsidR="005B3C5F" w:rsidRDefault="005B3C5F" w:rsidP="00923D2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If the student's parents/guardians are not satisfied with the </w:t>
      </w:r>
      <w:r w:rsidR="00522B95">
        <w:t>p</w:t>
      </w:r>
      <w:r>
        <w:t>rincipal</w:t>
      </w:r>
      <w:r w:rsidR="00522B95">
        <w:t xml:space="preserve"> and special education administrator</w:t>
      </w:r>
      <w:r>
        <w:t xml:space="preserve">’s determination, an informal hearing may be requested before the Superintendent.  A request for hearing must be delivered to the </w:t>
      </w:r>
      <w:r w:rsidR="00522B95">
        <w:t>s</w:t>
      </w:r>
      <w:r>
        <w:t xml:space="preserve">uperintendent within five (5) days of receiving notice of the </w:t>
      </w:r>
      <w:r w:rsidR="00522B95">
        <w:t>p</w:t>
      </w:r>
      <w:r>
        <w:t>rincipal</w:t>
      </w:r>
      <w:r w:rsidR="00522B95">
        <w:t xml:space="preserve"> and special education administrator</w:t>
      </w:r>
      <w:r>
        <w:t>’s determination.</w:t>
      </w:r>
    </w:p>
    <w:p w14:paraId="506A4BE3" w14:textId="77777777" w:rsidR="00923D20" w:rsidRPr="00E73731" w:rsidRDefault="00923D20">
      <w:pPr>
        <w:widowControl/>
        <w:jc w:val="both"/>
      </w:pPr>
    </w:p>
    <w:p w14:paraId="18EE3283" w14:textId="77777777" w:rsidR="00923D20" w:rsidRDefault="00923D20">
      <w:pPr>
        <w:widowControl/>
        <w:jc w:val="both"/>
      </w:pPr>
      <w:r w:rsidRPr="00E73731">
        <w:t>Legal Reference:</w:t>
      </w:r>
      <w:r w:rsidRPr="00E73731">
        <w:tab/>
        <w:t xml:space="preserve">Neb. Rev. Stat. </w:t>
      </w:r>
      <w:r w:rsidRPr="00E73731">
        <w:sym w:font="WP TypographicSymbols" w:char="0027"/>
      </w:r>
      <w:r w:rsidRPr="00E73731">
        <w:t>79-443</w:t>
      </w:r>
    </w:p>
    <w:p w14:paraId="0514866A" w14:textId="77777777" w:rsidR="00923D20" w:rsidRDefault="00923D20">
      <w:pPr>
        <w:widowControl/>
        <w:jc w:val="both"/>
      </w:pPr>
    </w:p>
    <w:p w14:paraId="7F75342C" w14:textId="77777777" w:rsidR="00923D20" w:rsidRPr="00092CF5" w:rsidRDefault="00923D20" w:rsidP="00923D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</w:pPr>
      <w:r>
        <w:t>Adopted:</w:t>
      </w:r>
      <w:r w:rsidRPr="00092CF5">
        <w:t xml:space="preserve"> June 13</w:t>
      </w:r>
      <w:r>
        <w:t>,</w:t>
      </w:r>
      <w:r w:rsidRPr="00092CF5">
        <w:t xml:space="preserve"> 2005</w:t>
      </w:r>
    </w:p>
    <w:p w14:paraId="4E5F6782" w14:textId="77777777" w:rsidR="00923D20" w:rsidRDefault="00923D20" w:rsidP="00923D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0" w:lineRule="atLeast"/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t>July 12, 2010</w:t>
      </w:r>
      <w:r>
        <w:t>, July 11, 2011, Jan. 9, 2012</w:t>
      </w:r>
    </w:p>
    <w:p w14:paraId="3D12B2E1" w14:textId="77777777" w:rsidR="00923D20" w:rsidRDefault="00923D20" w:rsidP="00923D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0" w:lineRule="atLeast"/>
      </w:pPr>
      <w:r>
        <w:t>Revised: June 11, 2012</w:t>
      </w:r>
    </w:p>
    <w:p w14:paraId="1165349D" w14:textId="77777777" w:rsidR="006125EB" w:rsidRDefault="006125EB" w:rsidP="00923D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0" w:lineRule="atLeast"/>
      </w:pPr>
      <w:r>
        <w:t>Reviewed: Apr. 8, 2013</w:t>
      </w:r>
      <w:r w:rsidR="006F7B3D">
        <w:t>, Apr. 14, 2014</w:t>
      </w:r>
      <w:r w:rsidR="00A51B6E">
        <w:t>, Apr. 13, 2015</w:t>
      </w:r>
      <w:r w:rsidR="004E4CBB">
        <w:t>, Apr. 11, 2016</w:t>
      </w:r>
      <w:r w:rsidR="00783308">
        <w:t>, Apr. 10, 2017</w:t>
      </w:r>
    </w:p>
    <w:p w14:paraId="72A01A76" w14:textId="77777777" w:rsidR="00A32DBF" w:rsidRDefault="00A32DBF" w:rsidP="00923D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0" w:lineRule="atLeast"/>
      </w:pPr>
      <w:r>
        <w:t>Revised: June 12, 2017</w:t>
      </w:r>
    </w:p>
    <w:p w14:paraId="2A4F0EF2" w14:textId="77777777" w:rsidR="004D50AA" w:rsidRDefault="008F6E53" w:rsidP="004D50AA">
      <w:pPr>
        <w:jc w:val="both"/>
      </w:pPr>
      <w:r>
        <w:t>Reviewed: Apr. 9, 2018</w:t>
      </w:r>
      <w:r w:rsidR="00730DFC">
        <w:t>, June 10, 2019</w:t>
      </w:r>
      <w:r w:rsidR="006C23FE">
        <w:t>, August 10, 2020</w:t>
      </w:r>
      <w:r w:rsidR="00AF5D18">
        <w:t>, May 10, 2021</w:t>
      </w:r>
      <w:r w:rsidR="00596A31">
        <w:t>, May 9, 2022</w:t>
      </w:r>
      <w:r w:rsidR="004F5F8E">
        <w:t>, May 8, 2023</w:t>
      </w:r>
      <w:r w:rsidR="0096344F">
        <w:t>, May 13, 2024</w:t>
      </w:r>
      <w:r w:rsidR="004D50AA">
        <w:t>, May 12, 2025</w:t>
      </w:r>
    </w:p>
    <w:p w14:paraId="2531E86E" w14:textId="35FD26B7" w:rsidR="008F6E53" w:rsidRDefault="008F6E53" w:rsidP="00923D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0" w:lineRule="atLeast"/>
      </w:pPr>
    </w:p>
    <w:p w14:paraId="03242040" w14:textId="77777777" w:rsidR="00923D20" w:rsidRPr="00E73731" w:rsidRDefault="00923D20" w:rsidP="00923D20">
      <w:pPr>
        <w:widowControl/>
        <w:jc w:val="both"/>
      </w:pPr>
    </w:p>
    <w:sectPr w:rsidR="00923D20" w:rsidRPr="00E73731" w:rsidSect="00923D20">
      <w:headerReference w:type="default" r:id="rId6"/>
      <w:footerReference w:type="default" r:id="rId7"/>
      <w:type w:val="continuous"/>
      <w:pgSz w:w="12240" w:h="15840"/>
      <w:pgMar w:top="720" w:right="1440" w:bottom="57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B0B79" w14:textId="77777777" w:rsidR="00865759" w:rsidRDefault="00865759">
      <w:r>
        <w:separator/>
      </w:r>
    </w:p>
  </w:endnote>
  <w:endnote w:type="continuationSeparator" w:id="0">
    <w:p w14:paraId="4DD3296C" w14:textId="77777777" w:rsidR="00865759" w:rsidRDefault="0086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P TypographicSymbol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18D3" w14:textId="77777777" w:rsidR="00923D20" w:rsidRDefault="00923D20">
    <w:pPr>
      <w:spacing w:line="240" w:lineRule="exact"/>
    </w:pPr>
  </w:p>
  <w:p w14:paraId="1DCE4194" w14:textId="77777777" w:rsidR="00923D20" w:rsidRPr="00E73731" w:rsidRDefault="00923D20" w:rsidP="00923D20">
    <w:pPr>
      <w:spacing w:line="240" w:lineRule="exact"/>
      <w:jc w:val="center"/>
    </w:pPr>
    <w:r w:rsidRPr="00E73731">
      <w:t xml:space="preserve">Page </w:t>
    </w:r>
    <w:r w:rsidRPr="00E73731">
      <w:rPr>
        <w:rStyle w:val="PageNumber"/>
      </w:rPr>
      <w:fldChar w:fldCharType="begin"/>
    </w:r>
    <w:r w:rsidRPr="00E73731">
      <w:rPr>
        <w:rStyle w:val="PageNumber"/>
      </w:rPr>
      <w:instrText xml:space="preserve"> PAGE </w:instrText>
    </w:r>
    <w:r w:rsidRPr="00E73731">
      <w:rPr>
        <w:rStyle w:val="PageNumber"/>
      </w:rPr>
      <w:fldChar w:fldCharType="separate"/>
    </w:r>
    <w:r w:rsidR="00596A31">
      <w:rPr>
        <w:rStyle w:val="PageNumber"/>
        <w:noProof/>
      </w:rPr>
      <w:t>1</w:t>
    </w:r>
    <w:r w:rsidRPr="00E73731">
      <w:rPr>
        <w:rStyle w:val="PageNumber"/>
      </w:rPr>
      <w:fldChar w:fldCharType="end"/>
    </w:r>
    <w:r w:rsidRPr="00E73731">
      <w:rPr>
        <w:rStyle w:val="PageNumber"/>
      </w:rPr>
      <w:t xml:space="preserve"> of </w:t>
    </w:r>
    <w:r w:rsidRPr="00E73731">
      <w:rPr>
        <w:rStyle w:val="PageNumber"/>
      </w:rPr>
      <w:fldChar w:fldCharType="begin"/>
    </w:r>
    <w:r w:rsidRPr="00E73731">
      <w:rPr>
        <w:rStyle w:val="PageNumber"/>
      </w:rPr>
      <w:instrText xml:space="preserve"> NUMPAGES </w:instrText>
    </w:r>
    <w:r w:rsidRPr="00E73731">
      <w:rPr>
        <w:rStyle w:val="PageNumber"/>
      </w:rPr>
      <w:fldChar w:fldCharType="separate"/>
    </w:r>
    <w:r w:rsidR="00596A31">
      <w:rPr>
        <w:rStyle w:val="PageNumber"/>
        <w:noProof/>
      </w:rPr>
      <w:t>1</w:t>
    </w:r>
    <w:r w:rsidRPr="00E73731">
      <w:rPr>
        <w:rStyle w:val="PageNumber"/>
      </w:rPr>
      <w:fldChar w:fldCharType="end"/>
    </w:r>
  </w:p>
  <w:p w14:paraId="0CB685F6" w14:textId="77777777" w:rsidR="00923D20" w:rsidRDefault="00923D20">
    <w:pPr>
      <w:spacing w:line="240" w:lineRule="exact"/>
      <w:rPr>
        <w:rFonts w:ascii="Courier" w:hAnsi="Courier" w:cs="Courie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233A0" w14:textId="77777777" w:rsidR="00865759" w:rsidRDefault="00865759">
      <w:r>
        <w:separator/>
      </w:r>
    </w:p>
  </w:footnote>
  <w:footnote w:type="continuationSeparator" w:id="0">
    <w:p w14:paraId="7B2A1252" w14:textId="77777777" w:rsidR="00865759" w:rsidRDefault="0086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23A8B" w14:textId="77777777" w:rsidR="00923D20" w:rsidRPr="00E55237" w:rsidRDefault="00923D20">
    <w:pPr>
      <w:tabs>
        <w:tab w:val="left" w:pos="0"/>
        <w:tab w:val="center" w:pos="4680"/>
        <w:tab w:val="right" w:pos="9360"/>
      </w:tabs>
      <w:rPr>
        <w:sz w:val="20"/>
        <w:szCs w:val="20"/>
      </w:rPr>
    </w:pPr>
    <w:r w:rsidRPr="00E55237">
      <w:t>Article 5</w:t>
    </w:r>
    <w:r w:rsidRPr="00E55237">
      <w:tab/>
    </w:r>
    <w:r w:rsidRPr="00E55237">
      <w:rPr>
        <w:b/>
        <w:bCs/>
      </w:rPr>
      <w:t>STUDENTS</w:t>
    </w:r>
    <w:r w:rsidRPr="00E55237">
      <w:tab/>
      <w:t>Policy No. 5201</w:t>
    </w:r>
  </w:p>
  <w:p w14:paraId="4A6CCDBF" w14:textId="77777777" w:rsidR="00923D20" w:rsidRPr="00E55237" w:rsidRDefault="00923D20">
    <w:pPr>
      <w:spacing w:line="24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D9"/>
    <w:rsid w:val="0003290F"/>
    <w:rsid w:val="000E334B"/>
    <w:rsid w:val="000F3906"/>
    <w:rsid w:val="004D50AA"/>
    <w:rsid w:val="004E4CBB"/>
    <w:rsid w:val="004F5F8E"/>
    <w:rsid w:val="00522B95"/>
    <w:rsid w:val="00596A31"/>
    <w:rsid w:val="005B3C5F"/>
    <w:rsid w:val="006125EB"/>
    <w:rsid w:val="006C23FE"/>
    <w:rsid w:val="006E41BE"/>
    <w:rsid w:val="006F7B3D"/>
    <w:rsid w:val="00730DFC"/>
    <w:rsid w:val="00783308"/>
    <w:rsid w:val="00865759"/>
    <w:rsid w:val="008F6E53"/>
    <w:rsid w:val="00923D20"/>
    <w:rsid w:val="0096344F"/>
    <w:rsid w:val="00994A22"/>
    <w:rsid w:val="00A32DBF"/>
    <w:rsid w:val="00A51B6E"/>
    <w:rsid w:val="00AF5D18"/>
    <w:rsid w:val="00B37996"/>
    <w:rsid w:val="00C419D9"/>
    <w:rsid w:val="00D25861"/>
    <w:rsid w:val="00DB7DAA"/>
    <w:rsid w:val="00FE04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92F852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E737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37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731"/>
  </w:style>
  <w:style w:type="paragraph" w:styleId="BalloonText">
    <w:name w:val="Balloon Text"/>
    <w:basedOn w:val="Normal"/>
    <w:link w:val="BalloonTextChar"/>
    <w:rsid w:val="00B0604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B0604A"/>
    <w:rPr>
      <w:rFonts w:ascii="Lucida Grande" w:hAnsi="Lucida Grande"/>
      <w:sz w:val="18"/>
      <w:szCs w:val="18"/>
    </w:rPr>
  </w:style>
  <w:style w:type="character" w:customStyle="1" w:styleId="HeaderChar">
    <w:name w:val="Header Char"/>
    <w:link w:val="Header"/>
    <w:rsid w:val="00B060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</vt:lpstr>
    </vt:vector>
  </TitlesOfParts>
  <Company>Perry Law Firm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</dc:title>
  <dc:subject/>
  <dc:creator>Morgan Wright</dc:creator>
  <cp:keywords/>
  <dc:description/>
  <cp:lastModifiedBy>Morlan, Emily (eemorlan)</cp:lastModifiedBy>
  <cp:revision>3</cp:revision>
  <cp:lastPrinted>2013-04-11T20:22:00Z</cp:lastPrinted>
  <dcterms:created xsi:type="dcterms:W3CDTF">2024-05-28T19:19:00Z</dcterms:created>
  <dcterms:modified xsi:type="dcterms:W3CDTF">2025-04-16T16:26:00Z</dcterms:modified>
</cp:coreProperties>
</file>