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17A5A226"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853E3">
        <w:rPr>
          <w:rFonts w:ascii="Monotype Corsiva" w:hAnsi="Monotype Corsiva"/>
          <w:sz w:val="40"/>
          <w:szCs w:val="40"/>
        </w:rPr>
        <w:t xml:space="preserve">March </w:t>
      </w:r>
      <w:r w:rsidR="00D20A13">
        <w:rPr>
          <w:rFonts w:ascii="Monotype Corsiva" w:hAnsi="Monotype Corsiva"/>
          <w:sz w:val="40"/>
          <w:szCs w:val="40"/>
        </w:rPr>
        <w:t>17</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853E3">
        <w:rPr>
          <w:rFonts w:ascii="Monotype Corsiva" w:hAnsi="Monotype Corsiva"/>
          <w:sz w:val="40"/>
          <w:szCs w:val="40"/>
        </w:rPr>
        <w:t xml:space="preserve">March </w:t>
      </w:r>
      <w:r w:rsidR="00D20A13">
        <w:rPr>
          <w:rFonts w:ascii="Monotype Corsiva" w:hAnsi="Monotype Corsiva"/>
          <w:sz w:val="40"/>
          <w:szCs w:val="40"/>
        </w:rPr>
        <w:t>21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A17F726" w14:textId="683E919D" w:rsidR="00AE773B" w:rsidRPr="00052CC3" w:rsidRDefault="00D20A13" w:rsidP="00765F82">
            <w:pPr>
              <w:widowControl w:val="0"/>
              <w:spacing w:line="240" w:lineRule="auto"/>
              <w:jc w:val="center"/>
              <w:rPr>
                <w:sz w:val="24"/>
                <w:szCs w:val="24"/>
              </w:rPr>
            </w:pPr>
            <w:r>
              <w:rPr>
                <w:rFonts w:ascii="Cambria" w:hAnsi="Cambria"/>
                <w:b/>
                <w:bCs/>
                <w:color w:val="000000" w:themeColor="text1"/>
                <w:sz w:val="24"/>
                <w:szCs w:val="24"/>
              </w:rPr>
              <w:t>ACT Science Blitz</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4715AF4" w14:textId="62553BAA" w:rsidR="00AE773B" w:rsidRPr="00585B51" w:rsidRDefault="00C562DB" w:rsidP="00E458A7">
            <w:pPr>
              <w:widowControl w:val="0"/>
              <w:spacing w:line="240" w:lineRule="auto"/>
              <w:jc w:val="center"/>
              <w:rPr>
                <w:sz w:val="24"/>
                <w:szCs w:val="24"/>
              </w:rPr>
            </w:pPr>
            <w:r>
              <w:rPr>
                <w:rFonts w:ascii="Cambria" w:hAnsi="Cambria"/>
                <w:b/>
                <w:bCs/>
                <w:color w:val="000000" w:themeColor="text1"/>
                <w:sz w:val="24"/>
                <w:szCs w:val="24"/>
              </w:rPr>
              <w:t>ACT Science Blitz</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BBAF6B8" w14:textId="363549EA" w:rsidR="00AE773B" w:rsidRPr="00585B51" w:rsidRDefault="00D20A13" w:rsidP="00E458A7">
            <w:pPr>
              <w:widowControl w:val="0"/>
              <w:spacing w:line="240" w:lineRule="auto"/>
              <w:jc w:val="center"/>
              <w:rPr>
                <w:sz w:val="24"/>
                <w:szCs w:val="24"/>
              </w:rPr>
            </w:pPr>
            <w:r>
              <w:rPr>
                <w:rFonts w:ascii="Cambria" w:hAnsi="Cambria"/>
                <w:b/>
                <w:bCs/>
                <w:color w:val="000000" w:themeColor="text1"/>
                <w:sz w:val="24"/>
                <w:szCs w:val="24"/>
              </w:rPr>
              <w:t>ACT Science Blitz</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E97AD8A" w14:textId="16F7536C" w:rsidR="00585B51" w:rsidRPr="005825CC" w:rsidRDefault="00C562DB"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ACT Science Blitz</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72C27EE" w14:textId="71728AE7" w:rsidR="00585B51" w:rsidRPr="006D32FE" w:rsidRDefault="00C562DB"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ACT Science Blitz</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0511F2C6" w14:textId="77777777" w:rsidR="00D20A13" w:rsidRPr="002550E6"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1C9B4091" w14:textId="77777777" w:rsidR="00D20A13" w:rsidRPr="002550E6" w:rsidRDefault="00D20A13" w:rsidP="00D20A13">
            <w:pPr>
              <w:tabs>
                <w:tab w:val="left" w:pos="1040"/>
              </w:tabs>
              <w:spacing w:line="240" w:lineRule="auto"/>
              <w:rPr>
                <w:rFonts w:ascii="Cambria" w:hAnsi="Cambria"/>
                <w:color w:val="000000" w:themeColor="text1"/>
              </w:rPr>
            </w:pPr>
          </w:p>
          <w:p w14:paraId="0B08BBB8" w14:textId="77777777" w:rsidR="00D20A13"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59AE009" w14:textId="77777777" w:rsidR="00DC4A90" w:rsidRPr="002550E6"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2191760A" w14:textId="77777777" w:rsidR="00DC4A90" w:rsidRPr="002550E6" w:rsidRDefault="00DC4A90" w:rsidP="00DC4A90">
            <w:pPr>
              <w:tabs>
                <w:tab w:val="left" w:pos="1040"/>
              </w:tabs>
              <w:spacing w:line="240" w:lineRule="auto"/>
              <w:rPr>
                <w:rFonts w:ascii="Cambria" w:hAnsi="Cambria"/>
                <w:color w:val="000000" w:themeColor="text1"/>
              </w:rPr>
            </w:pPr>
          </w:p>
          <w:p w14:paraId="646A1D05" w14:textId="77777777" w:rsidR="00DC4A90"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2EF2FD2D" w14:textId="77777777" w:rsidR="00DC4A90" w:rsidRDefault="00DC4A90" w:rsidP="00E42AA6">
            <w:pPr>
              <w:tabs>
                <w:tab w:val="left" w:pos="1040"/>
              </w:tabs>
              <w:spacing w:line="240" w:lineRule="auto"/>
              <w:rPr>
                <w:rFonts w:ascii="Cambria" w:hAnsi="Cambria"/>
                <w:color w:val="000000" w:themeColor="text1"/>
              </w:rPr>
            </w:pP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0880CF11" w14:textId="77777777" w:rsidR="00D20A13" w:rsidRPr="002550E6"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50947353" w14:textId="77777777" w:rsidR="00D20A13" w:rsidRPr="002550E6" w:rsidRDefault="00D20A13" w:rsidP="00D20A13">
            <w:pPr>
              <w:tabs>
                <w:tab w:val="left" w:pos="1040"/>
              </w:tabs>
              <w:spacing w:line="240" w:lineRule="auto"/>
              <w:rPr>
                <w:rFonts w:ascii="Cambria" w:hAnsi="Cambria"/>
                <w:color w:val="000000" w:themeColor="text1"/>
              </w:rPr>
            </w:pPr>
          </w:p>
          <w:p w14:paraId="6A19212C" w14:textId="77777777" w:rsidR="00D20A13"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695D8817" w14:textId="1219F2B5"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5E1A4EE1"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325108D9" w14:textId="77777777" w:rsidR="002550E6" w:rsidRPr="002550E6" w:rsidRDefault="002550E6" w:rsidP="002550E6">
            <w:pPr>
              <w:tabs>
                <w:tab w:val="left" w:pos="1040"/>
              </w:tabs>
              <w:spacing w:line="240" w:lineRule="auto"/>
              <w:rPr>
                <w:rFonts w:ascii="Cambria" w:hAnsi="Cambria"/>
                <w:color w:val="000000" w:themeColor="text1"/>
              </w:rPr>
            </w:pPr>
          </w:p>
          <w:p w14:paraId="443ABCBD" w14:textId="69CD3104"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16D7A932"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6A82A5EC" w14:textId="77777777" w:rsidR="002550E6" w:rsidRPr="002550E6" w:rsidRDefault="002550E6" w:rsidP="002550E6">
            <w:pPr>
              <w:tabs>
                <w:tab w:val="left" w:pos="1040"/>
              </w:tabs>
              <w:spacing w:line="240" w:lineRule="auto"/>
              <w:rPr>
                <w:rFonts w:ascii="Cambria" w:hAnsi="Cambria"/>
                <w:color w:val="000000" w:themeColor="text1"/>
              </w:rPr>
            </w:pPr>
          </w:p>
          <w:p w14:paraId="7AF7EB14" w14:textId="312448DE"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C76DBA2" w:rsidR="00AB0C16" w:rsidRPr="00AB0C16" w:rsidRDefault="00D20A13" w:rsidP="00765F82">
            <w:pPr>
              <w:widowControl w:val="0"/>
              <w:spacing w:line="240" w:lineRule="auto"/>
              <w:rPr>
                <w:rFonts w:ascii="Cambria" w:hAnsi="Cambria"/>
                <w:color w:val="000000" w:themeColor="text1"/>
                <w:sz w:val="20"/>
                <w:szCs w:val="20"/>
              </w:rPr>
            </w:pPr>
            <w:r w:rsidRPr="00DC4A90">
              <w:rPr>
                <w:rFonts w:ascii="Cambria" w:hAnsi="Cambria"/>
                <w:sz w:val="20"/>
                <w:szCs w:val="20"/>
              </w:rPr>
              <w:t>Prepare to begin Passage 1 of your ACT Science Prep packet!</w:t>
            </w:r>
          </w:p>
        </w:tc>
        <w:tc>
          <w:tcPr>
            <w:tcW w:w="2512" w:type="dxa"/>
            <w:gridSpan w:val="2"/>
            <w:tcBorders>
              <w:top w:val="single" w:sz="18" w:space="0" w:color="000000" w:themeColor="text1"/>
            </w:tcBorders>
            <w:tcMar>
              <w:top w:w="100" w:type="dxa"/>
              <w:left w:w="100" w:type="dxa"/>
              <w:bottom w:w="100" w:type="dxa"/>
              <w:right w:w="100" w:type="dxa"/>
            </w:tcMar>
          </w:tcPr>
          <w:p w14:paraId="4AF8B585" w14:textId="1209BE5B" w:rsidR="00A66D27" w:rsidRPr="00DC4A90" w:rsidRDefault="00D20A13" w:rsidP="00DC4A90">
            <w:pPr>
              <w:widowControl w:val="0"/>
              <w:spacing w:line="240" w:lineRule="auto"/>
              <w:rPr>
                <w:rFonts w:ascii="Cambria" w:hAnsi="Cambria"/>
                <w:sz w:val="20"/>
                <w:szCs w:val="20"/>
              </w:rPr>
            </w:pPr>
            <w:r w:rsidRPr="00DC4A90">
              <w:rPr>
                <w:rFonts w:ascii="Cambria" w:hAnsi="Cambria"/>
                <w:sz w:val="20"/>
                <w:szCs w:val="20"/>
              </w:rPr>
              <w:t xml:space="preserve">Prepare to begin Passage </w:t>
            </w:r>
            <w:r>
              <w:rPr>
                <w:rFonts w:ascii="Cambria" w:hAnsi="Cambria"/>
                <w:sz w:val="20"/>
                <w:szCs w:val="20"/>
              </w:rPr>
              <w:t>2</w:t>
            </w:r>
            <w:r w:rsidRPr="00DC4A90">
              <w:rPr>
                <w:rFonts w:ascii="Cambria" w:hAnsi="Cambria"/>
                <w:sz w:val="20"/>
                <w:szCs w:val="20"/>
              </w:rPr>
              <w:t xml:space="preserve"> of your ACT Science Prep packet!</w:t>
            </w:r>
          </w:p>
        </w:tc>
        <w:tc>
          <w:tcPr>
            <w:tcW w:w="2445" w:type="dxa"/>
            <w:tcBorders>
              <w:top w:val="single" w:sz="18" w:space="0" w:color="000000" w:themeColor="text1"/>
            </w:tcBorders>
            <w:tcMar>
              <w:top w:w="100" w:type="dxa"/>
              <w:left w:w="100" w:type="dxa"/>
              <w:bottom w:w="100" w:type="dxa"/>
              <w:right w:w="100" w:type="dxa"/>
            </w:tcMar>
          </w:tcPr>
          <w:p w14:paraId="42589212" w14:textId="26BADB46" w:rsidR="004C3045" w:rsidRPr="00483E92" w:rsidRDefault="00D20A13" w:rsidP="00765F82">
            <w:pPr>
              <w:widowControl w:val="0"/>
              <w:spacing w:line="240" w:lineRule="auto"/>
              <w:rPr>
                <w:rFonts w:ascii="Cambria" w:hAnsi="Cambria"/>
                <w:sz w:val="20"/>
                <w:szCs w:val="20"/>
              </w:rPr>
            </w:pPr>
            <w:r w:rsidRPr="00DC4A90">
              <w:rPr>
                <w:rFonts w:ascii="Cambria" w:hAnsi="Cambria"/>
                <w:sz w:val="20"/>
                <w:szCs w:val="20"/>
              </w:rPr>
              <w:t xml:space="preserve">Prepare to begin Passage </w:t>
            </w:r>
            <w:r>
              <w:rPr>
                <w:rFonts w:ascii="Cambria" w:hAnsi="Cambria"/>
                <w:sz w:val="20"/>
                <w:szCs w:val="20"/>
              </w:rPr>
              <w:t>3</w:t>
            </w:r>
            <w:r w:rsidRPr="00DC4A90">
              <w:rPr>
                <w:rFonts w:ascii="Cambria" w:hAnsi="Cambria"/>
                <w:sz w:val="20"/>
                <w:szCs w:val="20"/>
              </w:rPr>
              <w:t xml:space="preserve"> of your ACT Science Prep packet!</w:t>
            </w:r>
          </w:p>
        </w:tc>
        <w:tc>
          <w:tcPr>
            <w:tcW w:w="2675" w:type="dxa"/>
            <w:tcBorders>
              <w:top w:val="single" w:sz="18" w:space="0" w:color="000000" w:themeColor="text1"/>
            </w:tcBorders>
            <w:tcMar>
              <w:top w:w="100" w:type="dxa"/>
              <w:left w:w="100" w:type="dxa"/>
              <w:bottom w:w="100" w:type="dxa"/>
              <w:right w:w="100" w:type="dxa"/>
            </w:tcMar>
          </w:tcPr>
          <w:p w14:paraId="5AE8A5D0" w14:textId="75109BA0" w:rsidR="00215C26" w:rsidRPr="006D32FE" w:rsidRDefault="00D20A13" w:rsidP="003E1525">
            <w:pPr>
              <w:widowControl w:val="0"/>
              <w:spacing w:line="240" w:lineRule="auto"/>
              <w:rPr>
                <w:rFonts w:ascii="Cambria" w:hAnsi="Cambria"/>
                <w:sz w:val="20"/>
                <w:szCs w:val="20"/>
              </w:rPr>
            </w:pPr>
            <w:r w:rsidRPr="00DC4A90">
              <w:rPr>
                <w:rFonts w:ascii="Cambria" w:hAnsi="Cambria"/>
                <w:sz w:val="20"/>
                <w:szCs w:val="20"/>
              </w:rPr>
              <w:t xml:space="preserve">Prepare to begin Passage </w:t>
            </w:r>
            <w:r>
              <w:rPr>
                <w:rFonts w:ascii="Cambria" w:hAnsi="Cambria"/>
                <w:sz w:val="20"/>
                <w:szCs w:val="20"/>
              </w:rPr>
              <w:t>4</w:t>
            </w:r>
            <w:r w:rsidRPr="00DC4A90">
              <w:rPr>
                <w:rFonts w:ascii="Cambria" w:hAnsi="Cambria"/>
                <w:sz w:val="20"/>
                <w:szCs w:val="20"/>
              </w:rPr>
              <w:t xml:space="preserve"> of your ACT Science Prep packet!</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671DB9FF" w:rsidR="00770B7A" w:rsidRPr="00B732D6" w:rsidRDefault="00D20A13" w:rsidP="00553DDE">
            <w:pPr>
              <w:widowControl w:val="0"/>
              <w:spacing w:line="240" w:lineRule="auto"/>
              <w:rPr>
                <w:rFonts w:ascii="Cambria" w:hAnsi="Cambria"/>
                <w:sz w:val="20"/>
                <w:szCs w:val="20"/>
              </w:rPr>
            </w:pPr>
            <w:r w:rsidRPr="00DC4A90">
              <w:rPr>
                <w:rFonts w:ascii="Cambria" w:hAnsi="Cambria"/>
                <w:sz w:val="20"/>
                <w:szCs w:val="20"/>
              </w:rPr>
              <w:t xml:space="preserve">Prepare to begin Passage </w:t>
            </w:r>
            <w:r>
              <w:rPr>
                <w:rFonts w:ascii="Cambria" w:hAnsi="Cambria"/>
                <w:sz w:val="20"/>
                <w:szCs w:val="20"/>
              </w:rPr>
              <w:t>5</w:t>
            </w:r>
            <w:r w:rsidRPr="00DC4A90">
              <w:rPr>
                <w:rFonts w:ascii="Cambria" w:hAnsi="Cambria"/>
                <w:sz w:val="20"/>
                <w:szCs w:val="20"/>
              </w:rPr>
              <w:t xml:space="preserve"> of your ACT Science Prep packet!</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F69CF91" w:rsidR="00A66D27" w:rsidRPr="006D32FE" w:rsidRDefault="00D20A13" w:rsidP="00A66D27">
            <w:pPr>
              <w:widowControl w:val="0"/>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1D4DFB7" w:rsidR="00A66D27" w:rsidRPr="00A4637B" w:rsidRDefault="00D20A13"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provide students with practice ACT Science passages to complete.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07864CA" w:rsidR="00DC4A90" w:rsidRPr="00A4637B" w:rsidRDefault="00D20A13" w:rsidP="00EC0C98">
            <w:pPr>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1D6AB4A" w:rsidR="002636E8" w:rsidRPr="00A4637B" w:rsidRDefault="00D20A13" w:rsidP="00A66D27">
            <w:pPr>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17EBBCF4"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students with</w:t>
            </w:r>
            <w:r w:rsidR="008A375A">
              <w:rPr>
                <w:rFonts w:ascii="Cambria" w:hAnsi="Cambria"/>
                <w:b/>
                <w:bCs/>
                <w:sz w:val="20"/>
                <w:szCs w:val="20"/>
              </w:rPr>
              <w:t xml:space="preserve"> practice ACT Science passages to complete</w:t>
            </w:r>
            <w:r>
              <w:rPr>
                <w:rFonts w:ascii="Cambria" w:hAnsi="Cambria"/>
                <w:b/>
                <w:bCs/>
                <w:sz w:val="20"/>
                <w:szCs w:val="20"/>
              </w:rPr>
              <w:t>.</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6793905"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9723871" w:rsidR="00A66D27" w:rsidRPr="001F43E7" w:rsidRDefault="00A66D27" w:rsidP="00A66D27">
            <w:pPr>
              <w:spacing w:line="240" w:lineRule="auto"/>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238D5CF8" w:rsidR="00A66D27" w:rsidRPr="00AE773B" w:rsidRDefault="00A66D27" w:rsidP="00A66D27">
            <w:pPr>
              <w:spacing w:line="240" w:lineRule="auto"/>
              <w:rPr>
                <w:rFonts w:ascii="Cambria" w:hAnsi="Cambria"/>
                <w:b/>
                <w:bCs/>
                <w:sz w:val="20"/>
                <w:szCs w:val="20"/>
              </w:rPr>
            </w:pP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01345C28" w:rsidR="00A66D27" w:rsidRPr="009F661B" w:rsidRDefault="00A66D27" w:rsidP="00A66D27">
            <w:pPr>
              <w:spacing w:line="240" w:lineRule="auto"/>
              <w:rPr>
                <w:rFonts w:ascii="Cambria" w:hAnsi="Cambria"/>
                <w:b/>
                <w:bCs/>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04CF7F" w:rsidR="00A66D27" w:rsidRPr="001F43E7" w:rsidRDefault="00A66D27" w:rsidP="00A66D27">
            <w:pPr>
              <w:spacing w:line="240" w:lineRule="auto"/>
              <w:rPr>
                <w:rFonts w:ascii="Cambria" w:hAnsi="Cambria"/>
                <w:b/>
                <w:bCs/>
                <w:sz w:val="20"/>
                <w:szCs w:val="20"/>
              </w:rPr>
            </w:pP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09CA9CE6" w:rsidR="00A66D27" w:rsidRPr="006D32FE"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w:t>
            </w:r>
            <w:r>
              <w:rPr>
                <w:rFonts w:ascii="Cambria" w:hAnsi="Cambria"/>
                <w:b/>
                <w:bCs/>
                <w:sz w:val="20"/>
                <w:szCs w:val="20"/>
              </w:rPr>
              <w:t xml:space="preserve"> 1.</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C1F8A03" w:rsidR="00A66D27" w:rsidRPr="00C76095"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w:t>
            </w:r>
            <w:r>
              <w:rPr>
                <w:rFonts w:ascii="Cambria" w:hAnsi="Cambria"/>
                <w:b/>
                <w:bCs/>
                <w:sz w:val="20"/>
                <w:szCs w:val="20"/>
              </w:rPr>
              <w:t xml:space="preserve"> 2.</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0CD3772" w:rsidR="00A66D27" w:rsidRPr="00C76095"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w:t>
            </w:r>
            <w:r>
              <w:rPr>
                <w:rFonts w:ascii="Cambria" w:hAnsi="Cambria"/>
                <w:b/>
                <w:bCs/>
                <w:sz w:val="20"/>
                <w:szCs w:val="20"/>
              </w:rPr>
              <w:t xml:space="preserve"> 3.</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1D908274" w:rsidR="00A66D27" w:rsidRPr="00C76095" w:rsidRDefault="00D20A13" w:rsidP="00553DDE">
            <w:pPr>
              <w:spacing w:line="240" w:lineRule="auto"/>
              <w:rPr>
                <w:rFonts w:ascii="Cambria" w:hAnsi="Cambria"/>
                <w:b/>
                <w:bCs/>
                <w:sz w:val="20"/>
                <w:szCs w:val="20"/>
              </w:rPr>
            </w:pPr>
            <w:r>
              <w:rPr>
                <w:rFonts w:ascii="Cambria" w:hAnsi="Cambria"/>
                <w:b/>
                <w:bCs/>
                <w:sz w:val="20"/>
                <w:szCs w:val="20"/>
              </w:rPr>
              <w:t>Complete ACT Science Passage</w:t>
            </w:r>
            <w:r>
              <w:rPr>
                <w:rFonts w:ascii="Cambria" w:hAnsi="Cambria"/>
                <w:b/>
                <w:bCs/>
                <w:sz w:val="20"/>
                <w:szCs w:val="20"/>
              </w:rPr>
              <w:t xml:space="preserve"> 4.</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18AD10B" w:rsidR="00A66D27" w:rsidRPr="00C76095" w:rsidRDefault="00AB129D" w:rsidP="00553DDE">
            <w:pPr>
              <w:widowControl w:val="0"/>
              <w:spacing w:line="240" w:lineRule="auto"/>
              <w:rPr>
                <w:rFonts w:ascii="Cambria" w:hAnsi="Cambria"/>
                <w:b/>
                <w:bCs/>
                <w:sz w:val="20"/>
                <w:szCs w:val="20"/>
              </w:rPr>
            </w:pPr>
            <w:r>
              <w:rPr>
                <w:rFonts w:ascii="Cambria" w:hAnsi="Cambria"/>
                <w:b/>
                <w:bCs/>
                <w:sz w:val="20"/>
                <w:szCs w:val="20"/>
              </w:rPr>
              <w:t xml:space="preserve">Complete ACT Science Passage </w:t>
            </w:r>
            <w:r w:rsidR="00D20A13">
              <w:rPr>
                <w:rFonts w:ascii="Cambria" w:hAnsi="Cambria"/>
                <w:b/>
                <w:bCs/>
                <w:sz w:val="20"/>
                <w:szCs w:val="20"/>
              </w:rPr>
              <w:t>5</w:t>
            </w:r>
            <w:r>
              <w:rPr>
                <w:rFonts w:ascii="Cambria" w:hAnsi="Cambria"/>
                <w:b/>
                <w:bCs/>
                <w:sz w:val="20"/>
                <w:szCs w:val="20"/>
              </w:rPr>
              <w:t>.</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BE9620C" w:rsidR="00A66D27" w:rsidRPr="00653868" w:rsidRDefault="00A66D27" w:rsidP="00A66D27">
            <w:pPr>
              <w:widowControl w:val="0"/>
              <w:spacing w:line="240" w:lineRule="auto"/>
              <w:rPr>
                <w:rFonts w:ascii="Cambria" w:hAnsi="Cambria"/>
                <w:b/>
                <w:bCs/>
                <w:color w:val="FF0000"/>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F50BEB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53635241" w:rsidR="00A66D27" w:rsidRPr="006D32FE" w:rsidRDefault="00A66D27" w:rsidP="00A66D27">
            <w:pPr>
              <w:spacing w:line="240" w:lineRule="auto"/>
              <w:rPr>
                <w:rFonts w:ascii="Cambria" w:hAnsi="Cambria"/>
                <w:sz w:val="20"/>
                <w:szCs w:val="20"/>
              </w:rPr>
            </w:pP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4577709" w:rsidR="00A66D27" w:rsidRPr="006D32FE" w:rsidRDefault="00A66D27" w:rsidP="00A66D27">
            <w:pPr>
              <w:spacing w:line="240" w:lineRule="auto"/>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837A1C7" w:rsidR="00A66D27" w:rsidRPr="006D32FE" w:rsidRDefault="00A66D27" w:rsidP="00A66D27">
            <w:pPr>
              <w:widowControl w:val="0"/>
              <w:spacing w:line="240" w:lineRule="auto"/>
              <w:rPr>
                <w:rFonts w:ascii="Cambria" w:hAnsi="Cambria"/>
                <w:sz w:val="20"/>
                <w:szCs w:val="20"/>
              </w:rPr>
            </w:pP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69B8BE"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w:t>
            </w:r>
            <w:r w:rsidR="00AB129D">
              <w:rPr>
                <w:rFonts w:ascii="Cambria" w:hAnsi="Cambria"/>
                <w:sz w:val="20"/>
                <w:szCs w:val="20"/>
              </w:rPr>
              <w:t xml:space="preserve"> calculations made for the Chocolate Chip Cookie Lab activity.</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64DA4AA"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w:t>
            </w:r>
            <w:r w:rsidR="00AB129D">
              <w:rPr>
                <w:rFonts w:ascii="Cambria" w:hAnsi="Cambria"/>
                <w:sz w:val="20"/>
                <w:szCs w:val="20"/>
              </w:rPr>
              <w:t xml:space="preserve"> ACT Science Pre-Test</w:t>
            </w:r>
            <w:r>
              <w:rPr>
                <w:rFonts w:ascii="Cambria" w:hAnsi="Cambria"/>
                <w:sz w:val="20"/>
                <w:szCs w:val="20"/>
              </w:rPr>
              <w: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246E1F05" w:rsidR="00A66D27" w:rsidRPr="006D32FE" w:rsidRDefault="00AB129D" w:rsidP="00A66D27">
            <w:pPr>
              <w:widowControl w:val="0"/>
              <w:spacing w:line="240" w:lineRule="auto"/>
              <w:rPr>
                <w:rFonts w:ascii="Cambria" w:hAnsi="Cambria"/>
                <w:sz w:val="20"/>
                <w:szCs w:val="20"/>
              </w:rPr>
            </w:pPr>
            <w:r>
              <w:rPr>
                <w:rFonts w:ascii="Cambria" w:hAnsi="Cambria"/>
                <w:sz w:val="20"/>
                <w:szCs w:val="20"/>
              </w:rPr>
              <w:t>Formative assessment of calculations made for the Chocolate Chip Cookie Lab activity.</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D5AD1FF"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w:t>
            </w:r>
            <w:r w:rsidR="00AB129D">
              <w:rPr>
                <w:rFonts w:ascii="Cambria" w:hAnsi="Cambria"/>
                <w:sz w:val="20"/>
                <w:szCs w:val="20"/>
              </w:rPr>
              <w:t>Chocolate Chip cookies</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14CE50B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w:t>
            </w:r>
            <w:r w:rsidR="00AB129D">
              <w:rPr>
                <w:rFonts w:ascii="Cambria" w:hAnsi="Cambria"/>
                <w:sz w:val="20"/>
                <w:szCs w:val="20"/>
              </w:rPr>
              <w:t xml:space="preserve"> the ACT Science Passage 1a</w:t>
            </w:r>
            <w:r>
              <w:rPr>
                <w:rFonts w:ascii="Cambria" w:hAnsi="Cambria"/>
                <w:sz w:val="20"/>
                <w:szCs w:val="20"/>
              </w:rPr>
              <w: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6A2A" w14:textId="77777777" w:rsidR="00947632" w:rsidRDefault="00947632">
      <w:pPr>
        <w:spacing w:line="240" w:lineRule="auto"/>
      </w:pPr>
      <w:r>
        <w:separator/>
      </w:r>
    </w:p>
  </w:endnote>
  <w:endnote w:type="continuationSeparator" w:id="0">
    <w:p w14:paraId="06D7EAD5" w14:textId="77777777" w:rsidR="00947632" w:rsidRDefault="00947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3FE4" w14:textId="77777777" w:rsidR="00947632" w:rsidRDefault="00947632">
      <w:pPr>
        <w:spacing w:line="240" w:lineRule="auto"/>
      </w:pPr>
      <w:r>
        <w:separator/>
      </w:r>
    </w:p>
  </w:footnote>
  <w:footnote w:type="continuationSeparator" w:id="0">
    <w:p w14:paraId="20EF5273" w14:textId="77777777" w:rsidR="00947632" w:rsidRDefault="009476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2</cp:revision>
  <cp:lastPrinted>2025-03-07T18:44:00Z</cp:lastPrinted>
  <dcterms:created xsi:type="dcterms:W3CDTF">2025-03-07T18:46:00Z</dcterms:created>
  <dcterms:modified xsi:type="dcterms:W3CDTF">2025-03-07T18:46:00Z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