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03D68F54"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5E59AA">
        <w:rPr>
          <w:rFonts w:ascii="Monotype Corsiva" w:hAnsi="Monotype Corsiva"/>
          <w:sz w:val="40"/>
          <w:szCs w:val="40"/>
        </w:rPr>
        <w:t>April 7</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0E1EF5">
        <w:rPr>
          <w:rFonts w:ascii="Monotype Corsiva" w:hAnsi="Monotype Corsiva"/>
          <w:sz w:val="40"/>
          <w:szCs w:val="40"/>
        </w:rPr>
        <w:t xml:space="preserve">April </w:t>
      </w:r>
      <w:r w:rsidR="005E59AA">
        <w:rPr>
          <w:rFonts w:ascii="Monotype Corsiva" w:hAnsi="Monotype Corsiva"/>
          <w:sz w:val="40"/>
          <w:szCs w:val="40"/>
        </w:rPr>
        <w:t>11</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69D680" w14:textId="77777777" w:rsidR="009647AA"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956C0A5" w14:textId="77777777" w:rsidR="009647AA" w:rsidRPr="00422C06"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7029531A" w14:textId="77777777" w:rsidR="009647AA" w:rsidRDefault="009647AA" w:rsidP="009647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7A17F726" w14:textId="22D244C2" w:rsidR="00AE773B" w:rsidRPr="00052CC3" w:rsidRDefault="009647AA" w:rsidP="009647AA">
            <w:pPr>
              <w:widowControl w:val="0"/>
              <w:spacing w:line="240" w:lineRule="auto"/>
              <w:jc w:val="center"/>
              <w:rPr>
                <w:sz w:val="24"/>
                <w:szCs w:val="24"/>
              </w:rPr>
            </w:pPr>
            <w:r>
              <w:rPr>
                <w:rFonts w:ascii="Cambria" w:hAnsi="Cambria"/>
                <w:b/>
                <w:bCs/>
                <w:color w:val="000000" w:themeColor="text1"/>
                <w:sz w:val="24"/>
                <w:szCs w:val="24"/>
              </w:rPr>
              <w:t xml:space="preserve">p. </w:t>
            </w:r>
            <w:r w:rsidR="005E59AA">
              <w:rPr>
                <w:rFonts w:ascii="Cambria" w:hAnsi="Cambria"/>
                <w:b/>
                <w:bCs/>
                <w:color w:val="000000" w:themeColor="text1"/>
                <w:sz w:val="24"/>
                <w:szCs w:val="24"/>
              </w:rPr>
              <w:t>302-308</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36B598F" w14:textId="77777777" w:rsidR="005E59AA" w:rsidRDefault="005E59AA" w:rsidP="005E59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18578B8F" w14:textId="77777777" w:rsidR="005E59AA" w:rsidRPr="00422C06" w:rsidRDefault="005E59AA" w:rsidP="005E59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7191A0CC" w14:textId="77777777" w:rsidR="005E59AA" w:rsidRDefault="005E59AA" w:rsidP="005E59AA">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4715AF4" w14:textId="7AD2A69F" w:rsidR="00AE773B" w:rsidRPr="00585B51" w:rsidRDefault="005E59AA" w:rsidP="005E59AA">
            <w:pPr>
              <w:widowControl w:val="0"/>
              <w:spacing w:line="240" w:lineRule="auto"/>
              <w:jc w:val="center"/>
              <w:rPr>
                <w:sz w:val="24"/>
                <w:szCs w:val="24"/>
              </w:rPr>
            </w:pPr>
            <w:r>
              <w:rPr>
                <w:rFonts w:ascii="Cambria" w:hAnsi="Cambria"/>
                <w:b/>
                <w:bCs/>
                <w:color w:val="000000" w:themeColor="text1"/>
                <w:sz w:val="24"/>
                <w:szCs w:val="24"/>
              </w:rPr>
              <w:t>p. 302-308</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577626E"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007C910"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5B94001"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BBAF6B8" w14:textId="47A5F96F" w:rsidR="00AE773B" w:rsidRPr="00585B51" w:rsidRDefault="00DC194C" w:rsidP="00DC194C">
            <w:pPr>
              <w:widowControl w:val="0"/>
              <w:spacing w:line="240" w:lineRule="auto"/>
              <w:jc w:val="center"/>
              <w:rPr>
                <w:sz w:val="24"/>
                <w:szCs w:val="24"/>
              </w:rPr>
            </w:pPr>
            <w:r>
              <w:rPr>
                <w:rFonts w:ascii="Cambria" w:hAnsi="Cambria"/>
                <w:b/>
                <w:bCs/>
                <w:color w:val="000000" w:themeColor="text1"/>
                <w:sz w:val="24"/>
                <w:szCs w:val="24"/>
              </w:rPr>
              <w:t xml:space="preserve">p. </w:t>
            </w:r>
            <w:r w:rsidR="00D72343">
              <w:rPr>
                <w:rFonts w:ascii="Cambria" w:hAnsi="Cambria"/>
                <w:b/>
                <w:bCs/>
                <w:color w:val="000000" w:themeColor="text1"/>
                <w:sz w:val="24"/>
                <w:szCs w:val="24"/>
              </w:rPr>
              <w:t>289-308</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1ACD809"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1EE896A8"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BE86626"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1E97AD8A" w14:textId="3CA6B96B" w:rsidR="00585B51" w:rsidRPr="005825CC" w:rsidRDefault="00D72343" w:rsidP="00DC194C">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p. 289-308</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7AD87AB"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73AAC5F"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00F39F18"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672C27EE" w14:textId="5025BF6B" w:rsidR="00585B51" w:rsidRPr="006D32FE" w:rsidRDefault="00D72343" w:rsidP="00DC194C">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 289-308</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109D920"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13868836" w14:textId="77777777" w:rsidR="00EA1045" w:rsidRPr="00EA1045" w:rsidRDefault="00EA1045" w:rsidP="00EA1045">
            <w:pPr>
              <w:tabs>
                <w:tab w:val="left" w:pos="1040"/>
              </w:tabs>
              <w:spacing w:line="240" w:lineRule="auto"/>
              <w:rPr>
                <w:rFonts w:ascii="Cambria" w:hAnsi="Cambria"/>
                <w:color w:val="000000" w:themeColor="text1"/>
              </w:rPr>
            </w:pPr>
            <w:r w:rsidRPr="00EA1045">
              <w:rPr>
                <w:rFonts w:ascii="Cambria" w:hAnsi="Cambria"/>
                <w:color w:val="000000" w:themeColor="text1"/>
              </w:rPr>
              <w:t>Explain the concept of limiting and excess reactants.</w:t>
            </w:r>
          </w:p>
          <w:p w14:paraId="6887163C" w14:textId="5E418B36"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12898A01" w14:textId="77777777" w:rsidR="00EA1045" w:rsidRPr="00EA1045" w:rsidRDefault="00EA1045" w:rsidP="00EA1045">
            <w:pPr>
              <w:tabs>
                <w:tab w:val="left" w:pos="1040"/>
              </w:tabs>
              <w:spacing w:line="240" w:lineRule="auto"/>
              <w:rPr>
                <w:rFonts w:ascii="Cambria" w:hAnsi="Cambria"/>
                <w:color w:val="000000" w:themeColor="text1"/>
              </w:rPr>
            </w:pPr>
            <w:r w:rsidRPr="00EA1045">
              <w:rPr>
                <w:rFonts w:ascii="Cambria" w:hAnsi="Cambria"/>
                <w:color w:val="000000" w:themeColor="text1"/>
              </w:rPr>
              <w:t>Explain the concept of percent yield.</w:t>
            </w:r>
          </w:p>
          <w:p w14:paraId="4C7C7A1D" w14:textId="77777777" w:rsidR="00EA1045" w:rsidRPr="00EA1045" w:rsidRDefault="00EA1045" w:rsidP="00EA1045">
            <w:pPr>
              <w:tabs>
                <w:tab w:val="left" w:pos="1040"/>
              </w:tabs>
              <w:spacing w:line="240" w:lineRule="auto"/>
              <w:rPr>
                <w:rFonts w:ascii="Cambria" w:hAnsi="Cambria"/>
                <w:color w:val="000000" w:themeColor="text1"/>
              </w:rPr>
            </w:pPr>
            <w:r w:rsidRPr="00EA1045">
              <w:rPr>
                <w:rFonts w:ascii="Cambria" w:hAnsi="Cambria"/>
                <w:color w:val="000000" w:themeColor="text1"/>
              </w:rPr>
              <w:t>Calculate the percent yield for a chemical reaction.</w:t>
            </w:r>
          </w:p>
          <w:p w14:paraId="216CE36D" w14:textId="6E52EBD3"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FF989B6" w14:textId="77777777" w:rsidR="000E1EF5" w:rsidRDefault="000E1EF5" w:rsidP="00BD25F4">
            <w:pPr>
              <w:tabs>
                <w:tab w:val="left" w:pos="1040"/>
              </w:tabs>
              <w:spacing w:line="240" w:lineRule="auto"/>
              <w:rPr>
                <w:rFonts w:ascii="Cambria" w:hAnsi="Cambria"/>
              </w:rPr>
            </w:pPr>
          </w:p>
          <w:p w14:paraId="695D8817" w14:textId="0E574C88" w:rsidR="00DC4A90" w:rsidRPr="00226D05" w:rsidRDefault="00EA1045" w:rsidP="002550E6">
            <w:pPr>
              <w:tabs>
                <w:tab w:val="left" w:pos="1040"/>
              </w:tabs>
              <w:spacing w:line="240" w:lineRule="auto"/>
              <w:rPr>
                <w:rFonts w:ascii="Cambria" w:hAnsi="Cambria"/>
                <w:color w:val="FF0000"/>
                <w:sz w:val="20"/>
                <w:szCs w:val="20"/>
              </w:rPr>
            </w:pPr>
            <w:r w:rsidRPr="00EA1045">
              <w:rPr>
                <w:rFonts w:ascii="Cambria" w:hAnsi="Cambria"/>
              </w:rPr>
              <w:t>Recall and apply all previous knowledge concerning stoichiometry concepts.</w:t>
            </w: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443ABCBD" w14:textId="2BC79BE7" w:rsidR="008F6422" w:rsidRPr="00765F82" w:rsidRDefault="00EA1045" w:rsidP="002550E6">
            <w:pPr>
              <w:tabs>
                <w:tab w:val="left" w:pos="1040"/>
              </w:tabs>
              <w:spacing w:line="240" w:lineRule="auto"/>
              <w:rPr>
                <w:rFonts w:ascii="Cambria" w:hAnsi="Cambria"/>
                <w:color w:val="FF0000"/>
              </w:rPr>
            </w:pPr>
            <w:r w:rsidRPr="00EA1045">
              <w:rPr>
                <w:rFonts w:ascii="Cambria" w:hAnsi="Cambria"/>
                <w:color w:val="000000" w:themeColor="text1"/>
              </w:rPr>
              <w:t>Recall and apply all previous knowledge concerning stoichiometry concepts.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283903E8" w:rsidR="008F6422" w:rsidRPr="00765F82" w:rsidRDefault="00EA1045" w:rsidP="002550E6">
            <w:pPr>
              <w:tabs>
                <w:tab w:val="left" w:pos="1040"/>
              </w:tabs>
              <w:spacing w:line="240" w:lineRule="auto"/>
              <w:rPr>
                <w:rFonts w:ascii="Cambria" w:hAnsi="Cambria"/>
                <w:color w:val="FF0000"/>
              </w:rPr>
            </w:pPr>
            <w:r w:rsidRPr="00EA1045">
              <w:rPr>
                <w:rFonts w:ascii="Cambria" w:hAnsi="Cambria"/>
                <w:color w:val="000000" w:themeColor="text1"/>
              </w:rPr>
              <w:t>Recall and apply all previous knowledge concerning stoichiometry concepts.</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14541C23" w:rsidR="00AB0C16" w:rsidRPr="00C0507D" w:rsidRDefault="00C0507D" w:rsidP="00765F82">
            <w:pPr>
              <w:widowControl w:val="0"/>
              <w:spacing w:line="240" w:lineRule="auto"/>
              <w:rPr>
                <w:rFonts w:ascii="Cambria" w:hAnsi="Cambria"/>
                <w:color w:val="000000" w:themeColor="text1"/>
                <w:sz w:val="20"/>
                <w:szCs w:val="20"/>
              </w:rPr>
            </w:pPr>
            <w:r>
              <w:rPr>
                <w:rFonts w:ascii="Cambria" w:hAnsi="Cambria"/>
                <w:sz w:val="20"/>
                <w:szCs w:val="20"/>
              </w:rPr>
              <w:t xml:space="preserve">How many </w:t>
            </w:r>
            <w:r>
              <w:rPr>
                <w:rFonts w:ascii="Cambria" w:hAnsi="Cambria"/>
                <w:b/>
                <w:bCs/>
                <w:sz w:val="20"/>
                <w:szCs w:val="20"/>
                <w:u w:val="single"/>
              </w:rPr>
              <w:t>complete</w:t>
            </w:r>
            <w:r>
              <w:rPr>
                <w:rFonts w:ascii="Cambria" w:hAnsi="Cambria"/>
                <w:sz w:val="20"/>
                <w:szCs w:val="20"/>
              </w:rPr>
              <w:t xml:space="preserve"> bottles of soda can you deliver from these items (assume you can fill them with soda)?  [Picture included]</w:t>
            </w:r>
          </w:p>
        </w:tc>
        <w:tc>
          <w:tcPr>
            <w:tcW w:w="2512" w:type="dxa"/>
            <w:gridSpan w:val="2"/>
            <w:tcBorders>
              <w:top w:val="single" w:sz="18" w:space="0" w:color="000000" w:themeColor="text1"/>
            </w:tcBorders>
            <w:tcMar>
              <w:top w:w="100" w:type="dxa"/>
              <w:left w:w="100" w:type="dxa"/>
              <w:bottom w:w="100" w:type="dxa"/>
              <w:right w:w="100" w:type="dxa"/>
            </w:tcMar>
          </w:tcPr>
          <w:p w14:paraId="5724A829" w14:textId="77777777" w:rsidR="00DC194C" w:rsidRDefault="00DC194C" w:rsidP="00DC194C">
            <w:pPr>
              <w:widowControl w:val="0"/>
              <w:spacing w:line="240" w:lineRule="auto"/>
              <w:jc w:val="center"/>
              <w:rPr>
                <w:rFonts w:ascii="Cambria" w:hAnsi="Cambria"/>
                <w:b/>
                <w:bCs/>
                <w:sz w:val="32"/>
                <w:szCs w:val="32"/>
              </w:rPr>
            </w:pPr>
          </w:p>
          <w:p w14:paraId="4AF8B585" w14:textId="1F5EE751" w:rsidR="00A66D27" w:rsidRPr="00DC194C" w:rsidRDefault="00A66D27" w:rsidP="00DC194C">
            <w:pPr>
              <w:widowControl w:val="0"/>
              <w:spacing w:line="240" w:lineRule="auto"/>
              <w:jc w:val="center"/>
              <w:rPr>
                <w:rFonts w:ascii="Cambria" w:hAnsi="Cambria"/>
                <w:b/>
                <w:bCs/>
                <w:sz w:val="32"/>
                <w:szCs w:val="32"/>
              </w:rPr>
            </w:pPr>
          </w:p>
        </w:tc>
        <w:tc>
          <w:tcPr>
            <w:tcW w:w="2445" w:type="dxa"/>
            <w:tcBorders>
              <w:top w:val="single" w:sz="18" w:space="0" w:color="000000" w:themeColor="text1"/>
            </w:tcBorders>
            <w:tcMar>
              <w:top w:w="100" w:type="dxa"/>
              <w:left w:w="100" w:type="dxa"/>
              <w:bottom w:w="100" w:type="dxa"/>
              <w:right w:w="100" w:type="dxa"/>
            </w:tcMar>
          </w:tcPr>
          <w:p w14:paraId="78AE61E5" w14:textId="77777777" w:rsidR="00C0507D" w:rsidRPr="00C0507D" w:rsidRDefault="00C0507D" w:rsidP="00C0507D">
            <w:pPr>
              <w:widowControl w:val="0"/>
              <w:spacing w:line="240" w:lineRule="auto"/>
              <w:rPr>
                <w:rFonts w:ascii="Cambria" w:hAnsi="Cambria"/>
                <w:sz w:val="20"/>
                <w:szCs w:val="20"/>
              </w:rPr>
            </w:pPr>
            <w:r w:rsidRPr="00C0507D">
              <w:rPr>
                <w:rFonts w:ascii="Cambria" w:hAnsi="Cambria"/>
                <w:sz w:val="20"/>
                <w:szCs w:val="20"/>
              </w:rPr>
              <w:t>Determine the limiting and excess reactants using the following recipe to make a bacon &amp; cheese sandwich:</w:t>
            </w:r>
          </w:p>
          <w:p w14:paraId="54EE8FE2" w14:textId="77777777" w:rsidR="00C0507D" w:rsidRPr="00C0507D" w:rsidRDefault="00C0507D" w:rsidP="00C0507D">
            <w:pPr>
              <w:widowControl w:val="0"/>
              <w:spacing w:line="240" w:lineRule="auto"/>
              <w:rPr>
                <w:rFonts w:ascii="Cambria" w:hAnsi="Cambria"/>
                <w:b/>
                <w:sz w:val="16"/>
                <w:szCs w:val="16"/>
              </w:rPr>
            </w:pPr>
            <w:r w:rsidRPr="00C0507D">
              <w:rPr>
                <w:rFonts w:ascii="Cambria" w:hAnsi="Cambria"/>
                <w:b/>
                <w:sz w:val="16"/>
                <w:szCs w:val="16"/>
              </w:rPr>
              <w:t>2 slices + 3 slices + 1 slice</w:t>
            </w:r>
          </w:p>
          <w:p w14:paraId="5F12ABD7" w14:textId="77777777" w:rsidR="00C0507D" w:rsidRPr="00C0507D" w:rsidRDefault="00C0507D" w:rsidP="00C0507D">
            <w:pPr>
              <w:widowControl w:val="0"/>
              <w:spacing w:line="240" w:lineRule="auto"/>
              <w:rPr>
                <w:rFonts w:ascii="Cambria" w:hAnsi="Cambria"/>
                <w:b/>
                <w:sz w:val="16"/>
                <w:szCs w:val="16"/>
              </w:rPr>
            </w:pPr>
            <w:r w:rsidRPr="00C0507D">
              <w:rPr>
                <w:rFonts w:ascii="Cambria" w:hAnsi="Cambria"/>
                <w:b/>
                <w:sz w:val="16"/>
                <w:szCs w:val="16"/>
              </w:rPr>
              <w:t xml:space="preserve"> bread       bacon       cheese</w:t>
            </w:r>
          </w:p>
          <w:p w14:paraId="6A572FAB" w14:textId="77777777" w:rsidR="00C0507D" w:rsidRPr="00C0507D" w:rsidRDefault="00C0507D" w:rsidP="00C0507D">
            <w:pPr>
              <w:widowControl w:val="0"/>
              <w:spacing w:line="240" w:lineRule="auto"/>
              <w:rPr>
                <w:rFonts w:ascii="Cambria" w:hAnsi="Cambria"/>
                <w:sz w:val="20"/>
                <w:szCs w:val="20"/>
              </w:rPr>
            </w:pPr>
            <w:r w:rsidRPr="00C0507D">
              <w:rPr>
                <w:rFonts w:ascii="Cambria" w:hAnsi="Cambria"/>
                <w:b/>
                <w:sz w:val="20"/>
                <w:szCs w:val="20"/>
                <w:u w:val="single"/>
              </w:rPr>
              <w:t>YOU HAVE</w:t>
            </w:r>
            <w:r w:rsidRPr="00C0507D">
              <w:rPr>
                <w:rFonts w:ascii="Cambria" w:hAnsi="Cambria"/>
                <w:sz w:val="20"/>
                <w:szCs w:val="20"/>
              </w:rPr>
              <w:t>:  23 slices of bread, 26 slices of bacon, and 10 slices of cheese.</w:t>
            </w:r>
          </w:p>
          <w:p w14:paraId="42589212" w14:textId="2DCCA7C9" w:rsidR="004C3045" w:rsidRPr="00483E92" w:rsidRDefault="00C0507D" w:rsidP="00C0507D">
            <w:pPr>
              <w:widowControl w:val="0"/>
              <w:spacing w:line="240" w:lineRule="auto"/>
              <w:rPr>
                <w:rFonts w:ascii="Cambria" w:hAnsi="Cambria"/>
                <w:sz w:val="20"/>
                <w:szCs w:val="20"/>
              </w:rPr>
            </w:pPr>
            <w:r w:rsidRPr="00C0507D">
              <w:rPr>
                <w:rFonts w:ascii="Cambria" w:hAnsi="Cambria"/>
                <w:b/>
                <w:sz w:val="20"/>
                <w:szCs w:val="20"/>
              </w:rPr>
              <w:t>Explain your reasoning!</w:t>
            </w:r>
          </w:p>
        </w:tc>
        <w:tc>
          <w:tcPr>
            <w:tcW w:w="2675" w:type="dxa"/>
            <w:tcBorders>
              <w:top w:val="single" w:sz="18" w:space="0" w:color="000000" w:themeColor="text1"/>
            </w:tcBorders>
            <w:tcMar>
              <w:top w:w="100" w:type="dxa"/>
              <w:left w:w="100" w:type="dxa"/>
              <w:bottom w:w="100" w:type="dxa"/>
              <w:right w:w="100" w:type="dxa"/>
            </w:tcMar>
          </w:tcPr>
          <w:p w14:paraId="5AE8A5D0" w14:textId="76D05162" w:rsidR="00215C26" w:rsidRPr="006D32FE" w:rsidRDefault="00C0507D" w:rsidP="0043780B">
            <w:pPr>
              <w:widowControl w:val="0"/>
              <w:spacing w:line="240" w:lineRule="auto"/>
              <w:rPr>
                <w:rFonts w:ascii="Cambria" w:hAnsi="Cambria"/>
                <w:sz w:val="20"/>
                <w:szCs w:val="20"/>
              </w:rPr>
            </w:pPr>
            <w:r w:rsidRPr="00C0507D">
              <w:rPr>
                <w:rFonts w:ascii="Cambria" w:hAnsi="Cambria"/>
                <w:sz w:val="20"/>
                <w:szCs w:val="20"/>
              </w:rPr>
              <w:t>What is the percent yield of a reaction in which 20.0 g of product was calculated from a mass-mass problem but only 13.5 g of product was collected?</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395721FB" w:rsidR="00770B7A" w:rsidRPr="00B732D6" w:rsidRDefault="00C0507D" w:rsidP="0043780B">
            <w:pPr>
              <w:widowControl w:val="0"/>
              <w:spacing w:line="240" w:lineRule="auto"/>
              <w:rPr>
                <w:rFonts w:ascii="Cambria" w:hAnsi="Cambria"/>
                <w:sz w:val="20"/>
                <w:szCs w:val="20"/>
              </w:rPr>
            </w:pPr>
            <w:r w:rsidRPr="00C0507D">
              <w:rPr>
                <w:rFonts w:ascii="Cambria" w:hAnsi="Cambria"/>
                <w:sz w:val="20"/>
                <w:szCs w:val="20"/>
              </w:rPr>
              <w:t>Prepare for your Chapter 9 Test.</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6AD61CB8"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318BE13" w14:textId="77777777" w:rsidR="00051F96" w:rsidRPr="00A76F6B"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740A2DC"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5B4C875" w14:textId="77777777" w:rsidR="00051F96"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37B17FA" w14:textId="77777777" w:rsidR="00051F96" w:rsidRPr="00616112" w:rsidRDefault="00051F96" w:rsidP="00051F96">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0453CC1B" w:rsidR="00A66D27" w:rsidRPr="004C3045" w:rsidRDefault="00051F96" w:rsidP="00051F96">
            <w:pPr>
              <w:pStyle w:val="ListParagraph"/>
              <w:widowControl w:val="0"/>
              <w:spacing w:line="240" w:lineRule="auto"/>
              <w:ind w:left="360"/>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5C0BDB00" w14:textId="77777777" w:rsidR="00113A3D" w:rsidRPr="00A76F6B" w:rsidRDefault="00113A3D" w:rsidP="00113A3D">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DDD76ED" w14:textId="77777777" w:rsidR="00113A3D" w:rsidRPr="00A76F6B" w:rsidRDefault="00113A3D" w:rsidP="00113A3D">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8F447D8" w14:textId="77777777" w:rsidR="00113A3D" w:rsidRPr="00113A3D" w:rsidRDefault="00113A3D" w:rsidP="00113A3D">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41496D56" w:rsidR="00A66D27" w:rsidRPr="00113A3D" w:rsidRDefault="00113A3D" w:rsidP="00113A3D">
            <w:pPr>
              <w:pStyle w:val="ListParagraph"/>
              <w:widowControl w:val="0"/>
              <w:numPr>
                <w:ilvl w:val="0"/>
                <w:numId w:val="2"/>
              </w:numPr>
              <w:spacing w:line="240" w:lineRule="auto"/>
              <w:ind w:left="144" w:hanging="144"/>
              <w:rPr>
                <w:rFonts w:ascii="Cambria" w:hAnsi="Cambria"/>
                <w:color w:val="000000" w:themeColor="text1"/>
                <w:sz w:val="20"/>
                <w:szCs w:val="20"/>
              </w:rPr>
            </w:pPr>
            <w:r w:rsidRPr="00113A3D">
              <w:rPr>
                <w:rFonts w:ascii="Cambria" w:hAnsi="Cambria"/>
                <w:color w:val="000000" w:themeColor="text1"/>
                <w:sz w:val="20"/>
                <w:szCs w:val="20"/>
              </w:rPr>
              <w:t xml:space="preserve">Exit Ticket </w:t>
            </w:r>
            <w:r w:rsidRPr="00113A3D">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3294EA42" w14:textId="77777777" w:rsidR="00113A3D" w:rsidRPr="00A76F6B" w:rsidRDefault="00113A3D" w:rsidP="00113A3D">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B2149EE" w14:textId="15EBB720" w:rsidR="00A66D27" w:rsidRPr="002A5B78" w:rsidRDefault="00113A3D" w:rsidP="00113A3D">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Test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tc>
      </w:tr>
      <w:tr w:rsidR="000E1EF5"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0E1EF5"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0E1EF5" w:rsidRDefault="000E1EF5" w:rsidP="000E1EF5">
            <w:pPr>
              <w:widowControl w:val="0"/>
              <w:spacing w:line="240" w:lineRule="auto"/>
              <w:jc w:val="center"/>
              <w:rPr>
                <w:rFonts w:ascii="Cambria" w:hAnsi="Cambria"/>
                <w:b/>
                <w:bCs/>
                <w:color w:val="000000" w:themeColor="text1"/>
                <w:sz w:val="20"/>
                <w:szCs w:val="20"/>
              </w:rPr>
            </w:pPr>
          </w:p>
          <w:p w14:paraId="3CADC02B" w14:textId="438334D7" w:rsidR="000E1EF5" w:rsidRPr="00906657"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0E1EF5" w:rsidRPr="00906657" w:rsidRDefault="000E1EF5" w:rsidP="000E1EF5">
            <w:pPr>
              <w:widowControl w:val="0"/>
              <w:spacing w:line="240" w:lineRule="auto"/>
              <w:jc w:val="center"/>
              <w:rPr>
                <w:rFonts w:ascii="Cambria" w:hAnsi="Cambria"/>
                <w:color w:val="000000" w:themeColor="text1"/>
                <w:sz w:val="18"/>
                <w:szCs w:val="18"/>
              </w:rPr>
            </w:pPr>
          </w:p>
          <w:p w14:paraId="0EF14EF8" w14:textId="75EC0E25" w:rsidR="000E1EF5" w:rsidRPr="006D32FE" w:rsidRDefault="000E1EF5" w:rsidP="000E1EF5">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57A1192F" w:rsidR="000E1EF5" w:rsidRPr="006D32FE" w:rsidRDefault="000E1EF5" w:rsidP="000E1EF5">
            <w:pPr>
              <w:widowControl w:val="0"/>
              <w:spacing w:line="240" w:lineRule="auto"/>
              <w:rPr>
                <w:rFonts w:ascii="Cambria" w:hAnsi="Cambria"/>
                <w:b/>
                <w:bCs/>
                <w:sz w:val="20"/>
                <w:szCs w:val="20"/>
              </w:rPr>
            </w:pPr>
            <w:r>
              <w:rPr>
                <w:rFonts w:ascii="Cambria" w:hAnsi="Cambria"/>
                <w:b/>
                <w:bCs/>
                <w:sz w:val="20"/>
                <w:szCs w:val="20"/>
              </w:rPr>
              <w:t xml:space="preserve">I will </w:t>
            </w:r>
            <w:r w:rsidR="00051F96">
              <w:rPr>
                <w:rFonts w:ascii="Cambria" w:hAnsi="Cambria"/>
                <w:b/>
                <w:bCs/>
                <w:sz w:val="20"/>
                <w:szCs w:val="20"/>
              </w:rPr>
              <w:t>explain the concepts of limiting and excess reactants as well as provide “real life” examples of these concepts</w:t>
            </w:r>
            <w:r>
              <w:rPr>
                <w:rFonts w:ascii="Cambria" w:hAnsi="Cambria"/>
                <w:b/>
                <w:bCs/>
                <w:sz w:val="20"/>
                <w:szCs w:val="20"/>
              </w:rPr>
              <w: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391CD477" w:rsidR="000E1EF5" w:rsidRPr="00A4637B" w:rsidRDefault="000E1EF5" w:rsidP="000E1EF5">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051F96">
              <w:rPr>
                <w:rFonts w:ascii="Cambria" w:hAnsi="Cambria"/>
                <w:b/>
                <w:bCs/>
                <w:sz w:val="20"/>
                <w:szCs w:val="20"/>
              </w:rPr>
              <w:t>explain the concepts of theoretical, actual, and percent yield</w:t>
            </w:r>
            <w:r>
              <w:rPr>
                <w:rFonts w:ascii="Cambria" w:hAnsi="Cambria"/>
                <w:b/>
                <w:bCs/>
                <w:sz w:val="20"/>
                <w:szCs w:val="20"/>
              </w:rPr>
              <w:t>.</w:t>
            </w:r>
            <w:r w:rsidR="00051F96">
              <w:rPr>
                <w:rFonts w:ascii="Cambria" w:hAnsi="Cambria"/>
                <w:b/>
                <w:bCs/>
                <w:sz w:val="20"/>
                <w:szCs w:val="20"/>
              </w:rPr>
              <w:t xml:space="preserve">  I will also provide practice problems to calculate percent yield.</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59CF65BD" w:rsidR="000E1EF5" w:rsidRPr="00A4637B" w:rsidRDefault="000E1EF5" w:rsidP="000E1EF5">
            <w:pPr>
              <w:spacing w:line="240" w:lineRule="auto"/>
              <w:rPr>
                <w:rFonts w:ascii="Cambria" w:hAnsi="Cambria"/>
                <w:b/>
                <w:bCs/>
                <w:sz w:val="20"/>
                <w:szCs w:val="20"/>
              </w:rPr>
            </w:pPr>
            <w:r>
              <w:rPr>
                <w:rFonts w:ascii="Cambria" w:hAnsi="Cambria"/>
                <w:b/>
                <w:bCs/>
                <w:sz w:val="20"/>
                <w:szCs w:val="20"/>
              </w:rPr>
              <w:t xml:space="preserve">I will provide students with </w:t>
            </w:r>
            <w:r w:rsidR="00051F96">
              <w:rPr>
                <w:rFonts w:ascii="Cambria" w:hAnsi="Cambria"/>
                <w:b/>
                <w:bCs/>
                <w:sz w:val="20"/>
                <w:szCs w:val="20"/>
              </w:rPr>
              <w:t>review problems to prepare for the Chapter 9 Test</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C25A74F" w:rsidR="000E1EF5" w:rsidRPr="00A4637B" w:rsidRDefault="00051F96" w:rsidP="000E1EF5">
            <w:pPr>
              <w:spacing w:line="240" w:lineRule="auto"/>
              <w:rPr>
                <w:rFonts w:ascii="Cambria" w:hAnsi="Cambria"/>
                <w:b/>
                <w:bCs/>
                <w:sz w:val="20"/>
                <w:szCs w:val="20"/>
              </w:rPr>
            </w:pPr>
            <w:r>
              <w:rPr>
                <w:rFonts w:ascii="Cambria" w:hAnsi="Cambria"/>
                <w:b/>
                <w:bCs/>
                <w:sz w:val="20"/>
                <w:szCs w:val="20"/>
              </w:rPr>
              <w:t xml:space="preserve">I will lead the class through questions concerning all of Chapter </w:t>
            </w:r>
            <w:r>
              <w:rPr>
                <w:rFonts w:ascii="Cambria" w:hAnsi="Cambria"/>
                <w:b/>
                <w:bCs/>
                <w:sz w:val="20"/>
                <w:szCs w:val="20"/>
              </w:rPr>
              <w:t>9</w:t>
            </w:r>
            <w:r>
              <w:rPr>
                <w:rFonts w:ascii="Cambria" w:hAnsi="Cambria"/>
                <w:b/>
                <w:bCs/>
                <w:sz w:val="20"/>
                <w:szCs w:val="20"/>
              </w:rPr>
              <w:t xml:space="preserve"> during a review game.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42EBC8DE" w:rsidR="000E1EF5" w:rsidRPr="00C76095" w:rsidRDefault="00051F96" w:rsidP="000E1EF5">
            <w:pPr>
              <w:widowControl w:val="0"/>
              <w:spacing w:line="240" w:lineRule="auto"/>
              <w:rPr>
                <w:rFonts w:ascii="Cambria" w:hAnsi="Cambria"/>
                <w:b/>
                <w:bCs/>
                <w:sz w:val="20"/>
                <w:szCs w:val="20"/>
              </w:rPr>
            </w:pPr>
            <w:r>
              <w:rPr>
                <w:rFonts w:ascii="Cambria" w:hAnsi="Cambria"/>
                <w:b/>
                <w:bCs/>
                <w:sz w:val="20"/>
                <w:szCs w:val="20"/>
              </w:rPr>
              <w:t xml:space="preserve">I will distribute the Chapter </w:t>
            </w:r>
            <w:r>
              <w:rPr>
                <w:rFonts w:ascii="Cambria" w:hAnsi="Cambria"/>
                <w:b/>
                <w:bCs/>
                <w:sz w:val="20"/>
                <w:szCs w:val="20"/>
              </w:rPr>
              <w:t>9</w:t>
            </w:r>
            <w:r>
              <w:rPr>
                <w:rFonts w:ascii="Cambria" w:hAnsi="Cambria"/>
                <w:b/>
                <w:bCs/>
                <w:sz w:val="20"/>
                <w:szCs w:val="20"/>
              </w:rPr>
              <w:t xml:space="preserve"> Test to the class.</w:t>
            </w:r>
          </w:p>
        </w:tc>
      </w:tr>
      <w:tr w:rsidR="000E1EF5"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0E1EF5" w:rsidRDefault="000E1EF5" w:rsidP="000E1EF5">
            <w:pPr>
              <w:widowControl w:val="0"/>
              <w:spacing w:line="240" w:lineRule="auto"/>
              <w:jc w:val="center"/>
              <w:rPr>
                <w:rFonts w:ascii="Cambria" w:hAnsi="Cambria"/>
                <w:color w:val="000000" w:themeColor="text1"/>
                <w:sz w:val="20"/>
                <w:szCs w:val="20"/>
              </w:rPr>
            </w:pPr>
          </w:p>
          <w:p w14:paraId="73D43B71" w14:textId="0D0795E4" w:rsidR="000E1EF5" w:rsidRDefault="000E1EF5" w:rsidP="000E1EF5">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0E1EF5" w:rsidRPr="00906657" w:rsidRDefault="000E1EF5" w:rsidP="000E1EF5">
            <w:pPr>
              <w:widowControl w:val="0"/>
              <w:spacing w:line="240" w:lineRule="auto"/>
              <w:jc w:val="center"/>
              <w:rPr>
                <w:rFonts w:ascii="Cambria" w:hAnsi="Cambria"/>
                <w:color w:val="000000" w:themeColor="text1"/>
                <w:sz w:val="18"/>
                <w:szCs w:val="18"/>
              </w:rPr>
            </w:pPr>
          </w:p>
          <w:p w14:paraId="2C562A90" w14:textId="24090547" w:rsidR="000E1EF5" w:rsidRPr="006D32FE" w:rsidRDefault="000E1EF5" w:rsidP="000E1EF5">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5C2257D9" w:rsidR="000E1EF5" w:rsidRPr="006D32FE" w:rsidRDefault="00051F96" w:rsidP="000E1EF5">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26740136" w:rsidR="000E1EF5" w:rsidRPr="001F43E7" w:rsidRDefault="00051F96" w:rsidP="000E1EF5">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5A3D67CF" w:rsidR="000E1EF5" w:rsidRPr="00AE773B" w:rsidRDefault="000E1EF5" w:rsidP="000E1EF5">
            <w:pPr>
              <w:spacing w:line="240" w:lineRule="auto"/>
              <w:rPr>
                <w:rFonts w:ascii="Cambria" w:hAnsi="Cambria"/>
                <w:b/>
                <w:bCs/>
                <w:sz w:val="20"/>
                <w:szCs w:val="20"/>
              </w:rPr>
            </w:pPr>
            <w:r>
              <w:rPr>
                <w:rFonts w:ascii="Cambria" w:hAnsi="Cambria"/>
                <w:b/>
                <w:bCs/>
                <w:sz w:val="20"/>
                <w:szCs w:val="20"/>
              </w:rPr>
              <w:t xml:space="preserve">Work in small groups to </w:t>
            </w:r>
            <w:r w:rsidR="00051F96">
              <w:rPr>
                <w:rFonts w:ascii="Cambria" w:hAnsi="Cambria"/>
                <w:b/>
                <w:bCs/>
                <w:sz w:val="20"/>
                <w:szCs w:val="20"/>
              </w:rPr>
              <w:t>answer the review problems for Chapter 9</w:t>
            </w:r>
            <w:r>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DAFB995" w:rsidR="000E1EF5" w:rsidRPr="009F661B" w:rsidRDefault="000E1EF5" w:rsidP="000E1EF5">
            <w:pPr>
              <w:spacing w:line="240" w:lineRule="auto"/>
              <w:rPr>
                <w:rFonts w:ascii="Cambria" w:hAnsi="Cambria"/>
                <w:b/>
                <w:bCs/>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96F8091" w:rsidR="000E1EF5" w:rsidRPr="001F43E7" w:rsidRDefault="000E1EF5" w:rsidP="000E1EF5">
            <w:pPr>
              <w:spacing w:line="240" w:lineRule="auto"/>
              <w:rPr>
                <w:rFonts w:ascii="Cambria" w:hAnsi="Cambria"/>
                <w:b/>
                <w:bCs/>
                <w:sz w:val="20"/>
                <w:szCs w:val="20"/>
              </w:rPr>
            </w:pPr>
          </w:p>
        </w:tc>
      </w:tr>
      <w:tr w:rsidR="000E1EF5"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E1EF5" w:rsidRPr="006D32FE" w:rsidRDefault="000E1EF5" w:rsidP="000E1EF5">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0E1EF5" w:rsidRDefault="000E1EF5" w:rsidP="000E1EF5">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0E1EF5" w:rsidRPr="006D32FE" w:rsidRDefault="000E1EF5" w:rsidP="000E1EF5">
            <w:pPr>
              <w:widowControl w:val="0"/>
              <w:spacing w:line="240" w:lineRule="auto"/>
              <w:jc w:val="center"/>
              <w:rPr>
                <w:rFonts w:ascii="Cambria" w:hAnsi="Cambria"/>
                <w:color w:val="000000" w:themeColor="text1"/>
                <w:sz w:val="20"/>
                <w:szCs w:val="20"/>
              </w:rPr>
            </w:pPr>
          </w:p>
          <w:p w14:paraId="7A172142" w14:textId="3D8EC373" w:rsidR="000E1EF5" w:rsidRPr="00906657" w:rsidRDefault="000E1EF5" w:rsidP="000E1EF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0E1EF5" w:rsidRDefault="000E1EF5" w:rsidP="000E1EF5">
            <w:pPr>
              <w:widowControl w:val="0"/>
              <w:spacing w:line="240" w:lineRule="auto"/>
              <w:jc w:val="center"/>
              <w:rPr>
                <w:rFonts w:ascii="Cambria" w:hAnsi="Cambria"/>
                <w:color w:val="000000" w:themeColor="text1"/>
                <w:sz w:val="18"/>
                <w:szCs w:val="18"/>
              </w:rPr>
            </w:pPr>
          </w:p>
          <w:p w14:paraId="7BC80E8E" w14:textId="4FB867F6" w:rsidR="000E1EF5" w:rsidRPr="006D32FE" w:rsidRDefault="000E1EF5" w:rsidP="000E1EF5">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4DA35D" w14:textId="77777777" w:rsidR="00051F96" w:rsidRDefault="00051F96" w:rsidP="00051F96">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3B80E294" w14:textId="77777777" w:rsidR="00051F96" w:rsidRDefault="00051F96" w:rsidP="00051F96">
            <w:pPr>
              <w:widowControl w:val="0"/>
              <w:spacing w:line="240" w:lineRule="auto"/>
              <w:rPr>
                <w:rFonts w:ascii="Cambria" w:hAnsi="Cambria"/>
                <w:b/>
                <w:bCs/>
                <w:sz w:val="20"/>
                <w:szCs w:val="20"/>
              </w:rPr>
            </w:pPr>
          </w:p>
          <w:p w14:paraId="44E3582B" w14:textId="622E0041" w:rsidR="000E1EF5" w:rsidRPr="006D32FE" w:rsidRDefault="00051F96" w:rsidP="00051F96">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limiting &amp; excess reactants</w:t>
            </w:r>
            <w:r>
              <w:rPr>
                <w:rFonts w:ascii="Cambria" w:hAnsi="Cambria"/>
                <w:b/>
                <w:bCs/>
                <w:sz w:val="20"/>
                <w:szCs w:val="20"/>
              </w:rPr>
              <w:t>.</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EED6E3" w14:textId="77777777" w:rsidR="00051F96" w:rsidRDefault="00051F96" w:rsidP="00051F96">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17B6A0BA" w14:textId="77777777" w:rsidR="00051F96" w:rsidRDefault="00051F96" w:rsidP="00051F96">
            <w:pPr>
              <w:widowControl w:val="0"/>
              <w:spacing w:line="240" w:lineRule="auto"/>
              <w:rPr>
                <w:rFonts w:ascii="Cambria" w:hAnsi="Cambria"/>
                <w:b/>
                <w:bCs/>
                <w:sz w:val="20"/>
                <w:szCs w:val="20"/>
              </w:rPr>
            </w:pPr>
          </w:p>
          <w:p w14:paraId="60BA49C1" w14:textId="76694F96" w:rsidR="000E1EF5" w:rsidRPr="00C76095" w:rsidRDefault="00051F96" w:rsidP="00051F96">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theoretical, actual, and percent yield</w:t>
            </w:r>
            <w:r>
              <w:rPr>
                <w:rFonts w:ascii="Cambria" w:hAnsi="Cambria"/>
                <w:b/>
                <w:bCs/>
                <w:sz w:val="20"/>
                <w:szCs w:val="20"/>
              </w:rPr>
              <w:t>.</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327DACA6" w:rsidR="000E1EF5" w:rsidRPr="00C76095" w:rsidRDefault="00051F96" w:rsidP="000E1EF5">
            <w:pPr>
              <w:widowControl w:val="0"/>
              <w:spacing w:line="240" w:lineRule="auto"/>
              <w:rPr>
                <w:rFonts w:ascii="Cambria" w:hAnsi="Cambria"/>
                <w:b/>
                <w:bCs/>
                <w:sz w:val="20"/>
                <w:szCs w:val="20"/>
              </w:rPr>
            </w:pPr>
            <w:r>
              <w:rPr>
                <w:rFonts w:ascii="Cambria" w:hAnsi="Cambria"/>
                <w:b/>
                <w:bCs/>
                <w:sz w:val="20"/>
                <w:szCs w:val="20"/>
              </w:rPr>
              <w:t>Complete the review problems for Chapter 9</w:t>
            </w:r>
            <w:r w:rsidR="000E1EF5">
              <w:rPr>
                <w:rFonts w:ascii="Cambria" w:hAnsi="Cambria"/>
                <w:b/>
                <w:bCs/>
                <w:sz w:val="20"/>
                <w:szCs w:val="20"/>
              </w:rPr>
              <w: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4A86D16A" w:rsidR="000E1EF5" w:rsidRPr="00C76095" w:rsidRDefault="00051F96" w:rsidP="000E1EF5">
            <w:pPr>
              <w:spacing w:line="240" w:lineRule="auto"/>
              <w:rPr>
                <w:rFonts w:ascii="Cambria" w:hAnsi="Cambria"/>
                <w:b/>
                <w:bCs/>
                <w:sz w:val="20"/>
                <w:szCs w:val="20"/>
              </w:rPr>
            </w:pPr>
            <w:r>
              <w:rPr>
                <w:rFonts w:ascii="Cambria" w:hAnsi="Cambria"/>
                <w:b/>
                <w:bCs/>
                <w:sz w:val="20"/>
                <w:szCs w:val="20"/>
              </w:rPr>
              <w:t xml:space="preserve">Answer review questions concerning Chapter </w:t>
            </w:r>
            <w:r>
              <w:rPr>
                <w:rFonts w:ascii="Cambria" w:hAnsi="Cambria"/>
                <w:b/>
                <w:bCs/>
                <w:sz w:val="20"/>
                <w:szCs w:val="20"/>
              </w:rPr>
              <w:t>9</w:t>
            </w:r>
            <w:r>
              <w:rPr>
                <w:rFonts w:ascii="Cambria" w:hAnsi="Cambria"/>
                <w:b/>
                <w:bCs/>
                <w:sz w:val="20"/>
                <w:szCs w:val="20"/>
              </w:rPr>
              <w:t xml:space="preserve"> concepts to earn extra credit (while reviewing for the test).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2C907479" w:rsidR="000E1EF5" w:rsidRPr="00C76095" w:rsidRDefault="00051F96" w:rsidP="000E1EF5">
            <w:pPr>
              <w:widowControl w:val="0"/>
              <w:spacing w:line="240" w:lineRule="auto"/>
              <w:rPr>
                <w:rFonts w:ascii="Cambria" w:hAnsi="Cambria"/>
                <w:b/>
                <w:bCs/>
                <w:sz w:val="20"/>
                <w:szCs w:val="20"/>
              </w:rPr>
            </w:pPr>
            <w:r>
              <w:rPr>
                <w:rFonts w:ascii="Cambria" w:hAnsi="Cambria"/>
                <w:b/>
                <w:bCs/>
                <w:sz w:val="20"/>
                <w:szCs w:val="20"/>
              </w:rPr>
              <w:t xml:space="preserve">Complete the Chapter </w:t>
            </w:r>
            <w:r>
              <w:rPr>
                <w:rFonts w:ascii="Cambria" w:hAnsi="Cambria"/>
                <w:b/>
                <w:bCs/>
                <w:sz w:val="20"/>
                <w:szCs w:val="20"/>
              </w:rPr>
              <w:t>9</w:t>
            </w:r>
            <w:r>
              <w:rPr>
                <w:rFonts w:ascii="Cambria" w:hAnsi="Cambria"/>
                <w:b/>
                <w:bCs/>
                <w:sz w:val="20"/>
                <w:szCs w:val="20"/>
              </w:rPr>
              <w:t xml:space="preserve"> Test to demonstrate mastery of the concepts concerning </w:t>
            </w:r>
            <w:r>
              <w:rPr>
                <w:rFonts w:ascii="Cambria" w:hAnsi="Cambria"/>
                <w:b/>
                <w:bCs/>
                <w:sz w:val="20"/>
                <w:szCs w:val="20"/>
              </w:rPr>
              <w:t>Stoichiometry</w:t>
            </w:r>
            <w:r>
              <w:rPr>
                <w:rFonts w:ascii="Cambria" w:hAnsi="Cambria"/>
                <w:b/>
                <w:bCs/>
                <w:sz w:val="20"/>
                <w:szCs w:val="20"/>
              </w:rPr>
              <w:t>.</w:t>
            </w:r>
          </w:p>
        </w:tc>
      </w:tr>
      <w:tr w:rsidR="000E1EF5"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0E1EF5" w:rsidRPr="006D32FE" w:rsidRDefault="000E1EF5" w:rsidP="000E1EF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0E1EF5" w:rsidRPr="006D32FE" w:rsidRDefault="000E1EF5" w:rsidP="000E1EF5">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73C4627" w:rsidR="000E1EF5" w:rsidRPr="00653868" w:rsidRDefault="000E1EF5" w:rsidP="000E1EF5">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4F662F84" w:rsidR="000E1EF5" w:rsidRPr="006D32FE" w:rsidRDefault="00051F96" w:rsidP="000E1EF5">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28972D60" w:rsidR="000E1EF5" w:rsidRPr="006D32FE" w:rsidRDefault="00051F96" w:rsidP="000E1EF5">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D615642" w:rsidR="000E1EF5" w:rsidRPr="006D32FE" w:rsidRDefault="000E1EF5" w:rsidP="000E1EF5">
            <w:pPr>
              <w:spacing w:line="240" w:lineRule="auto"/>
              <w:rPr>
                <w:rFonts w:ascii="Cambria" w:hAnsi="Cambria"/>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A36F96C" w:rsidR="000E1EF5" w:rsidRPr="006D32FE" w:rsidRDefault="000E1EF5" w:rsidP="000E1EF5">
            <w:pPr>
              <w:widowControl w:val="0"/>
              <w:spacing w:line="240" w:lineRule="auto"/>
              <w:rPr>
                <w:rFonts w:ascii="Cambria" w:hAnsi="Cambria"/>
                <w:sz w:val="20"/>
                <w:szCs w:val="20"/>
              </w:rPr>
            </w:pPr>
          </w:p>
        </w:tc>
      </w:tr>
      <w:tr w:rsidR="000E1EF5"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0E1EF5"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0E1EF5" w:rsidRPr="006D32FE" w:rsidRDefault="000E1EF5" w:rsidP="000E1EF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0E1EF5" w:rsidRPr="008B6F56" w:rsidRDefault="000E1EF5" w:rsidP="000E1EF5">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0E1EF5" w:rsidRDefault="000E1EF5" w:rsidP="000E1EF5">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0E1EF5" w:rsidRPr="006D32FE" w:rsidRDefault="000E1EF5" w:rsidP="000E1EF5">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0E1EF5"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0E1EF5" w:rsidRPr="006D32FE" w:rsidRDefault="000E1EF5" w:rsidP="000E1EF5">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20276CF9"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Mass-Mass Problems assignment.</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35C3D038" w:rsidR="000E1EF5" w:rsidRPr="006D32FE" w:rsidRDefault="000E1EF5" w:rsidP="000E1EF5">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4C86F7DD" w:rsidR="000E1EF5" w:rsidRPr="006D32FE" w:rsidRDefault="000E1EF5" w:rsidP="000E1EF5">
            <w:pPr>
              <w:widowControl w:val="0"/>
              <w:spacing w:line="240" w:lineRule="auto"/>
              <w:rPr>
                <w:rFonts w:ascii="Cambria" w:hAnsi="Cambria"/>
                <w:sz w:val="20"/>
                <w:szCs w:val="20"/>
              </w:rPr>
            </w:pPr>
            <w:r>
              <w:rPr>
                <w:rFonts w:ascii="Cambria" w:hAnsi="Cambria"/>
                <w:sz w:val="20"/>
                <w:szCs w:val="20"/>
              </w:rPr>
              <w:t xml:space="preserve">Formative assessment of responses to the </w:t>
            </w:r>
            <w:r w:rsidR="00051F96">
              <w:rPr>
                <w:rFonts w:ascii="Cambria" w:hAnsi="Cambria"/>
                <w:sz w:val="20"/>
                <w:szCs w:val="20"/>
              </w:rPr>
              <w:t xml:space="preserve">review questions </w:t>
            </w:r>
            <w:r>
              <w:rPr>
                <w:rFonts w:ascii="Cambria" w:hAnsi="Cambria"/>
                <w:sz w:val="20"/>
                <w:szCs w:val="20"/>
              </w:rPr>
              <w:t>and Exit Ticket.</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43F6EC93" w:rsidR="000E1EF5" w:rsidRPr="006D32FE" w:rsidRDefault="00051F96" w:rsidP="000E1EF5">
            <w:pPr>
              <w:widowControl w:val="0"/>
              <w:spacing w:line="240" w:lineRule="auto"/>
              <w:rPr>
                <w:rFonts w:ascii="Cambria" w:hAnsi="Cambria"/>
                <w:sz w:val="20"/>
                <w:szCs w:val="20"/>
              </w:rPr>
            </w:pPr>
            <w:r>
              <w:rPr>
                <w:rFonts w:ascii="Cambria" w:hAnsi="Cambria"/>
                <w:sz w:val="20"/>
                <w:szCs w:val="20"/>
              </w:rPr>
              <w:t>Formative assessment of the answers to the review questions.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281134AD" w:rsidR="000E1EF5" w:rsidRPr="006D32FE" w:rsidRDefault="00051F96" w:rsidP="000E1EF5">
            <w:pPr>
              <w:widowControl w:val="0"/>
              <w:spacing w:line="240" w:lineRule="auto"/>
              <w:rPr>
                <w:rFonts w:ascii="Cambria" w:hAnsi="Cambria"/>
                <w:sz w:val="20"/>
                <w:szCs w:val="20"/>
              </w:rPr>
            </w:pPr>
            <w:r>
              <w:rPr>
                <w:rFonts w:ascii="Cambria" w:hAnsi="Cambria"/>
                <w:sz w:val="20"/>
                <w:szCs w:val="20"/>
              </w:rPr>
              <w:t xml:space="preserve">Summative assessment of responses to the Chapter </w:t>
            </w:r>
            <w:r>
              <w:rPr>
                <w:rFonts w:ascii="Cambria" w:hAnsi="Cambria"/>
                <w:sz w:val="20"/>
                <w:szCs w:val="20"/>
              </w:rPr>
              <w:t>9</w:t>
            </w:r>
            <w:r>
              <w:rPr>
                <w:rFonts w:ascii="Cambria" w:hAnsi="Cambria"/>
                <w:sz w:val="20"/>
                <w:szCs w:val="20"/>
              </w:rPr>
              <w:t xml:space="preserve"> Test questions.</w:t>
            </w:r>
          </w:p>
        </w:tc>
      </w:tr>
      <w:tr w:rsidR="000E1EF5"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E1EF5" w:rsidRPr="006D32FE" w:rsidRDefault="000E1EF5" w:rsidP="000E1EF5">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E1EF5" w:rsidRPr="006D32FE" w:rsidRDefault="000E1EF5" w:rsidP="000E1EF5">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0E1EF5" w:rsidRDefault="000E1EF5" w:rsidP="000E1EF5">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0E1EF5" w:rsidRDefault="000E1EF5" w:rsidP="000E1EF5">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0E1EF5" w:rsidRPr="006D32FE" w:rsidRDefault="000E1EF5" w:rsidP="000E1EF5">
            <w:pPr>
              <w:widowControl w:val="0"/>
              <w:spacing w:line="240" w:lineRule="auto"/>
              <w:rPr>
                <w:rFonts w:ascii="Cambria" w:hAnsi="Cambria"/>
                <w:sz w:val="20"/>
                <w:szCs w:val="20"/>
              </w:rPr>
            </w:pPr>
            <w:r>
              <w:rPr>
                <w:rFonts w:ascii="Cambria" w:hAnsi="Cambria"/>
                <w:sz w:val="20"/>
                <w:szCs w:val="20"/>
              </w:rPr>
              <w:t>-Opportunity for test corrections.</w:t>
            </w:r>
          </w:p>
        </w:tc>
      </w:tr>
      <w:tr w:rsidR="000E1EF5"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E1EF5" w:rsidRPr="006D32FE" w:rsidRDefault="000E1EF5" w:rsidP="000E1EF5">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E1EF5" w:rsidRPr="006D32FE" w:rsidRDefault="000E1EF5" w:rsidP="000E1EF5">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E1EF5" w:rsidRPr="006D32FE" w:rsidRDefault="000E1EF5" w:rsidP="000E1EF5">
            <w:pPr>
              <w:spacing w:line="240" w:lineRule="auto"/>
              <w:rPr>
                <w:rFonts w:ascii="Cambria" w:hAnsi="Cambria"/>
                <w:sz w:val="20"/>
                <w:szCs w:val="20"/>
              </w:rPr>
            </w:pPr>
          </w:p>
          <w:p w14:paraId="3A735567" w14:textId="0C631EE0" w:rsidR="000E1EF5" w:rsidRPr="006D32FE" w:rsidRDefault="000E1EF5" w:rsidP="000E1EF5">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0E1EF5" w:rsidRPr="001E1E5F" w:rsidRDefault="000E1EF5" w:rsidP="000E1EF5">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0E1EF5"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E1EF5" w:rsidRDefault="000E1EF5" w:rsidP="000E1EF5">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0E1EF5" w:rsidRPr="00152AFB" w:rsidRDefault="000E1EF5" w:rsidP="000E1EF5">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0E1EF5" w:rsidRPr="00453990" w:rsidRDefault="000E1EF5" w:rsidP="000E1EF5">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lastRenderedPageBreak/>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3214" w14:textId="77777777" w:rsidR="00CF030C" w:rsidRDefault="00CF030C">
      <w:pPr>
        <w:spacing w:line="240" w:lineRule="auto"/>
      </w:pPr>
      <w:r>
        <w:separator/>
      </w:r>
    </w:p>
  </w:endnote>
  <w:endnote w:type="continuationSeparator" w:id="0">
    <w:p w14:paraId="030AB42B" w14:textId="77777777" w:rsidR="00CF030C" w:rsidRDefault="00CF0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A2B3" w14:textId="77777777" w:rsidR="00CF030C" w:rsidRDefault="00CF030C">
      <w:pPr>
        <w:spacing w:line="240" w:lineRule="auto"/>
      </w:pPr>
      <w:r>
        <w:separator/>
      </w:r>
    </w:p>
  </w:footnote>
  <w:footnote w:type="continuationSeparator" w:id="0">
    <w:p w14:paraId="6FC26824" w14:textId="77777777" w:rsidR="00CF030C" w:rsidRDefault="00CF03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46013"/>
    <w:rsid w:val="00051A1E"/>
    <w:rsid w:val="00051F96"/>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1EF5"/>
    <w:rsid w:val="000E36FE"/>
    <w:rsid w:val="000E5242"/>
    <w:rsid w:val="000E5F2A"/>
    <w:rsid w:val="000E618D"/>
    <w:rsid w:val="000E67A1"/>
    <w:rsid w:val="000E6FE7"/>
    <w:rsid w:val="000F22A5"/>
    <w:rsid w:val="00103C85"/>
    <w:rsid w:val="001108F4"/>
    <w:rsid w:val="0011104D"/>
    <w:rsid w:val="00113A3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1FA7"/>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3780B"/>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E59AA"/>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7F613D"/>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375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647AA"/>
    <w:rsid w:val="00977BE2"/>
    <w:rsid w:val="00982D81"/>
    <w:rsid w:val="0098556E"/>
    <w:rsid w:val="00991CE8"/>
    <w:rsid w:val="009939B0"/>
    <w:rsid w:val="009A63B8"/>
    <w:rsid w:val="009A6989"/>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B4FE3"/>
    <w:rsid w:val="00BC61CE"/>
    <w:rsid w:val="00BD25F4"/>
    <w:rsid w:val="00BD3837"/>
    <w:rsid w:val="00BD4E5C"/>
    <w:rsid w:val="00BD4FFF"/>
    <w:rsid w:val="00BE7787"/>
    <w:rsid w:val="00BF1F98"/>
    <w:rsid w:val="00BF215D"/>
    <w:rsid w:val="00C00622"/>
    <w:rsid w:val="00C0507D"/>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30C"/>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343"/>
    <w:rsid w:val="00D72720"/>
    <w:rsid w:val="00D7352D"/>
    <w:rsid w:val="00D76EBA"/>
    <w:rsid w:val="00D80164"/>
    <w:rsid w:val="00D80D32"/>
    <w:rsid w:val="00D843CA"/>
    <w:rsid w:val="00D8546D"/>
    <w:rsid w:val="00D9377A"/>
    <w:rsid w:val="00D939A9"/>
    <w:rsid w:val="00DA56B6"/>
    <w:rsid w:val="00DB0AE5"/>
    <w:rsid w:val="00DB30E5"/>
    <w:rsid w:val="00DB74FF"/>
    <w:rsid w:val="00DC194C"/>
    <w:rsid w:val="00DC2390"/>
    <w:rsid w:val="00DC268A"/>
    <w:rsid w:val="00DC39CB"/>
    <w:rsid w:val="00DC4A90"/>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308"/>
    <w:rsid w:val="00E778C8"/>
    <w:rsid w:val="00E83DE9"/>
    <w:rsid w:val="00E84D71"/>
    <w:rsid w:val="00E8610F"/>
    <w:rsid w:val="00E86611"/>
    <w:rsid w:val="00E90913"/>
    <w:rsid w:val="00E944C3"/>
    <w:rsid w:val="00EA00D6"/>
    <w:rsid w:val="00EA1045"/>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2025-03-21T17:53:00Z</cp:lastPrinted>
  <dcterms:created xsi:type="dcterms:W3CDTF">2025-04-06T17:28:00Z</dcterms:created>
  <dcterms:modified xsi:type="dcterms:W3CDTF">2025-04-06T18:30:00Z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