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90C8370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AD58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50DAE83E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AD5890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1C7EC187" w:rsidR="006B6007" w:rsidRDefault="00B13F89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proofErr w:type="gramStart"/>
            <w:r>
              <w:rPr>
                <w:rStyle w:val="normaltextrun"/>
                <w:rFonts w:eastAsiaTheme="minorEastAsia"/>
                <w:b/>
                <w:bCs/>
              </w:rPr>
              <w:t>A</w:t>
            </w:r>
            <w:r>
              <w:rPr>
                <w:rStyle w:val="normaltextrun"/>
                <w:rFonts w:eastAsiaTheme="minorEastAsia"/>
                <w:bCs/>
              </w:rPr>
              <w:t>ll of</w:t>
            </w:r>
            <w:proofErr w:type="gramEnd"/>
            <w:r>
              <w:rPr>
                <w:rStyle w:val="normaltextrun"/>
                <w:rFonts w:eastAsiaTheme="minorEastAsia"/>
                <w:bCs/>
              </w:rPr>
              <w:t xml:space="preserve"> the </w:t>
            </w:r>
            <w:proofErr w:type="gramStart"/>
            <w:r>
              <w:rPr>
                <w:rStyle w:val="normaltextrun"/>
                <w:rFonts w:eastAsiaTheme="minorEastAsia"/>
                <w:bCs/>
              </w:rPr>
              <w:t>text</w:t>
            </w:r>
            <w:proofErr w:type="gramEnd"/>
            <w:r>
              <w:rPr>
                <w:rStyle w:val="normaltextrun"/>
                <w:rFonts w:eastAsiaTheme="minorEastAsia"/>
                <w:bCs/>
              </w:rPr>
              <w:t xml:space="preserve"> are related to </w:t>
            </w:r>
            <w:r w:rsidR="00AD5890" w:rsidRPr="00AD5890">
              <w:rPr>
                <w:rStyle w:val="normaltextrun"/>
                <w:rFonts w:eastAsiaTheme="minorEastAsia"/>
                <w:bCs/>
              </w:rPr>
              <w:t>The Individual and Society</w:t>
            </w:r>
            <w:r w:rsidR="00AD5890">
              <w:rPr>
                <w:rStyle w:val="normaltextrun"/>
                <w:rFonts w:eastAsiaTheme="minorEastAsia"/>
                <w:bCs/>
              </w:rPr>
              <w:t>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3</w:t>
            </w:r>
            <w:proofErr w:type="gramStart"/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</w:t>
            </w:r>
            <w:proofErr w:type="gramEnd"/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2656F87E" w14:textId="78FFFF42" w:rsidR="00664622" w:rsidRPr="00331594" w:rsidRDefault="00AD5890" w:rsidP="00331594">
            <w:pPr>
              <w:rPr>
                <w:rStyle w:val="normaltextrun"/>
                <w:rFonts w:eastAsiaTheme="minorEastAsia"/>
              </w:rPr>
            </w:pPr>
            <w:r w:rsidRPr="00792498">
              <w:rPr>
                <w:rFonts w:ascii="Arial" w:hAnsi="Arial" w:cs="Arial"/>
                <w:bCs/>
              </w:rPr>
              <w:t xml:space="preserve">Fitting In, or Standing Out: </w:t>
            </w:r>
            <w:r w:rsidRPr="00792498">
              <w:rPr>
                <w:rFonts w:ascii="Arial" w:eastAsia="Times New Roman" w:hAnsi="Arial" w:cs="Arial"/>
                <w:i/>
                <w:iCs/>
              </w:rPr>
              <w:t>What role does individualism play in American society?</w:t>
            </w: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7187CC1E" w14:textId="0ACCD2B0" w:rsidR="00B13F89" w:rsidRPr="00331594" w:rsidRDefault="00AD5890" w:rsidP="00AD5890">
            <w:pPr>
              <w:rPr>
                <w:rStyle w:val="normaltextrun"/>
                <w:rFonts w:eastAsiaTheme="minorEastAsia"/>
              </w:rPr>
            </w:pPr>
            <w:r w:rsidRPr="00AD5890">
              <w:rPr>
                <w:rStyle w:val="normaltextrun"/>
                <w:rFonts w:eastAsiaTheme="minorEastAsia"/>
              </w:rPr>
              <w:t>Students will write personal narrative answering the following question: What significant incident helped me realize that I am a unique individual?</w:t>
            </w: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Review the Performance-Based Assessment at the end of the unit. Identify key “look fors”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What is the key learning for </w:t>
            </w:r>
            <w:proofErr w:type="gramStart"/>
            <w:r w:rsidRPr="372EF96A">
              <w:rPr>
                <w:rFonts w:eastAsiaTheme="minorEastAsia"/>
              </w:rPr>
              <w:t>the Performance</w:t>
            </w:r>
            <w:proofErr w:type="gramEnd"/>
            <w:r w:rsidRPr="372EF96A">
              <w:rPr>
                <w:rFonts w:eastAsiaTheme="minorEastAsia"/>
              </w:rPr>
              <w:t>-Based Assessment?</w:t>
            </w:r>
          </w:p>
          <w:p w14:paraId="18942B87" w14:textId="467F1A11" w:rsidR="00B13F89" w:rsidRDefault="00B13F89" w:rsidP="372EF96A">
            <w:pPr>
              <w:rPr>
                <w:rFonts w:eastAsiaTheme="minorEastAsia"/>
              </w:rPr>
            </w:pPr>
            <w:r w:rsidRPr="00B13F89">
              <w:rPr>
                <w:rFonts w:eastAsiaTheme="minorEastAsia"/>
              </w:rPr>
              <w:t>Students will write a</w:t>
            </w:r>
            <w:r w:rsidR="00AD5890">
              <w:rPr>
                <w:rFonts w:eastAsiaTheme="minorEastAsia"/>
              </w:rPr>
              <w:t xml:space="preserve"> personal narrative related to being an individual </w:t>
            </w:r>
            <w:proofErr w:type="gramStart"/>
            <w:r w:rsidR="00AD5890">
              <w:rPr>
                <w:rFonts w:eastAsiaTheme="minorEastAsia"/>
              </w:rPr>
              <w:t>in today’s society</w:t>
            </w:r>
            <w:proofErr w:type="gramEnd"/>
            <w:r w:rsidR="00AD5890">
              <w:rPr>
                <w:rFonts w:eastAsiaTheme="minorEastAsia"/>
              </w:rPr>
              <w:t>.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77F9CA21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79B5F4DF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</w:t>
            </w:r>
            <w:r w:rsidR="00AD5890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76513A90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3199DA1C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11241DD9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21F00CB4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306EB3AF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</w:p>
        </w:tc>
      </w:tr>
      <w:tr w:rsidR="006D14C4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6D14C4" w:rsidRPr="00951D47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18514545" w:rsidR="009D2636" w:rsidRDefault="00A813A9" w:rsidP="0073629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Great Gatsby</w:t>
            </w:r>
          </w:p>
        </w:tc>
        <w:tc>
          <w:tcPr>
            <w:tcW w:w="2142" w:type="dxa"/>
          </w:tcPr>
          <w:p w14:paraId="281BA929" w14:textId="03C13933" w:rsidR="006D14C4" w:rsidRDefault="00A813A9" w:rsidP="00EC311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Great Gatsby</w:t>
            </w:r>
          </w:p>
        </w:tc>
        <w:tc>
          <w:tcPr>
            <w:tcW w:w="2142" w:type="dxa"/>
          </w:tcPr>
          <w:p w14:paraId="48355BB7" w14:textId="11B6FA61" w:rsidR="009D2636" w:rsidRDefault="00A813A9" w:rsidP="0073629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Great Gatsby</w:t>
            </w:r>
          </w:p>
        </w:tc>
        <w:tc>
          <w:tcPr>
            <w:tcW w:w="2142" w:type="dxa"/>
          </w:tcPr>
          <w:p w14:paraId="420C62CF" w14:textId="3713DB13" w:rsidR="006D14C4" w:rsidRDefault="00A813A9" w:rsidP="009D263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Great Gatsby</w:t>
            </w:r>
          </w:p>
        </w:tc>
        <w:tc>
          <w:tcPr>
            <w:tcW w:w="2142" w:type="dxa"/>
          </w:tcPr>
          <w:p w14:paraId="7037652E" w14:textId="01CD8415" w:rsidR="006D14C4" w:rsidRDefault="00A85A3C" w:rsidP="009D263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Great Gatsby</w:t>
            </w:r>
          </w:p>
        </w:tc>
      </w:tr>
      <w:tr w:rsidR="00A813A9" w14:paraId="5C733371" w14:textId="77777777" w:rsidTr="372EF96A">
        <w:tc>
          <w:tcPr>
            <w:tcW w:w="3780" w:type="dxa"/>
          </w:tcPr>
          <w:p w14:paraId="2430466D" w14:textId="3FB32707" w:rsidR="00A813A9" w:rsidRDefault="00A813A9" w:rsidP="00A813A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proofErr w:type="gramStart"/>
            <w:r w:rsidRPr="372EF96A">
              <w:rPr>
                <w:rFonts w:eastAsiaTheme="minorEastAsia"/>
              </w:rPr>
              <w:t>What standard(s)</w:t>
            </w:r>
            <w:proofErr w:type="gramEnd"/>
            <w:r w:rsidRPr="372EF96A">
              <w:rPr>
                <w:rFonts w:eastAsiaTheme="minorEastAsia"/>
              </w:rPr>
              <w:t xml:space="preserve"> are the primary focus of the lesson?</w:t>
            </w:r>
          </w:p>
          <w:p w14:paraId="3F515AC6" w14:textId="77777777" w:rsidR="00A813A9" w:rsidRPr="006D14C4" w:rsidRDefault="00A813A9" w:rsidP="00A813A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4483351E" w:rsidR="00A813A9" w:rsidRPr="00472520" w:rsidRDefault="00A813A9" w:rsidP="00A813A9">
            <w:pPr>
              <w:rPr>
                <w:rFonts w:eastAsiaTheme="minorEastAsia"/>
                <w:sz w:val="18"/>
                <w:szCs w:val="18"/>
              </w:rPr>
            </w:pPr>
            <w:r w:rsidRPr="00460ED2">
              <w:rPr>
                <w:rFonts w:eastAsiaTheme="minorEastAsia"/>
              </w:rPr>
              <w:t>11-12.RL.KID.3</w:t>
            </w:r>
          </w:p>
        </w:tc>
        <w:tc>
          <w:tcPr>
            <w:tcW w:w="2142" w:type="dxa"/>
          </w:tcPr>
          <w:p w14:paraId="37589EF8" w14:textId="37BCF88F" w:rsidR="00A813A9" w:rsidRPr="00472520" w:rsidRDefault="00A813A9" w:rsidP="00A813A9">
            <w:pPr>
              <w:rPr>
                <w:rFonts w:eastAsiaTheme="minorEastAsia"/>
              </w:rPr>
            </w:pPr>
            <w:r w:rsidRPr="00460ED2">
              <w:rPr>
                <w:rFonts w:eastAsiaTheme="minorEastAsia"/>
              </w:rPr>
              <w:t>11-12.RL.KID.3</w:t>
            </w:r>
          </w:p>
        </w:tc>
        <w:tc>
          <w:tcPr>
            <w:tcW w:w="2142" w:type="dxa"/>
          </w:tcPr>
          <w:p w14:paraId="5DD76942" w14:textId="28977C2C" w:rsidR="00A813A9" w:rsidRPr="00472520" w:rsidRDefault="00A813A9" w:rsidP="00A813A9">
            <w:pPr>
              <w:rPr>
                <w:rFonts w:eastAsiaTheme="minorEastAsia"/>
              </w:rPr>
            </w:pPr>
            <w:r w:rsidRPr="00D12CD4">
              <w:rPr>
                <w:rFonts w:eastAsiaTheme="minorEastAsia"/>
              </w:rPr>
              <w:t>11-12.RL.KID.3</w:t>
            </w:r>
          </w:p>
        </w:tc>
        <w:tc>
          <w:tcPr>
            <w:tcW w:w="2142" w:type="dxa"/>
          </w:tcPr>
          <w:p w14:paraId="2BEDE8A9" w14:textId="09EFA253" w:rsidR="00A813A9" w:rsidRPr="00472520" w:rsidRDefault="00A813A9" w:rsidP="00A813A9">
            <w:pPr>
              <w:rPr>
                <w:rFonts w:eastAsiaTheme="minorEastAsia"/>
              </w:rPr>
            </w:pPr>
            <w:r w:rsidRPr="00D12CD4">
              <w:rPr>
                <w:rFonts w:eastAsiaTheme="minorEastAsia"/>
              </w:rPr>
              <w:t>11-12.RL.KID.3</w:t>
            </w:r>
          </w:p>
        </w:tc>
        <w:tc>
          <w:tcPr>
            <w:tcW w:w="2142" w:type="dxa"/>
          </w:tcPr>
          <w:p w14:paraId="61037382" w14:textId="3BC1AFD2" w:rsidR="00A813A9" w:rsidRPr="00472520" w:rsidRDefault="00A813A9" w:rsidP="00A813A9">
            <w:pPr>
              <w:rPr>
                <w:rFonts w:eastAsiaTheme="minorEastAsia"/>
              </w:rPr>
            </w:pPr>
            <w:r w:rsidRPr="00EC311D">
              <w:rPr>
                <w:rFonts w:eastAsiaTheme="minorEastAsia"/>
              </w:rPr>
              <w:t>11-12.RL.KID.3</w:t>
            </w:r>
          </w:p>
        </w:tc>
      </w:tr>
      <w:tr w:rsidR="00A813A9" w14:paraId="3C4BDD95" w14:textId="77777777" w:rsidTr="372EF96A">
        <w:tc>
          <w:tcPr>
            <w:tcW w:w="3780" w:type="dxa"/>
          </w:tcPr>
          <w:p w14:paraId="6A4FF18F" w14:textId="77777777" w:rsidR="00A813A9" w:rsidRPr="00951D47" w:rsidRDefault="00A813A9" w:rsidP="00A813A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A813A9" w:rsidRPr="00951D47" w:rsidRDefault="00A813A9" w:rsidP="00A813A9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3244E30B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D94840">
              <w:rPr>
                <w:rFonts w:eastAsiaTheme="minorEastAsia"/>
                <w:sz w:val="20"/>
                <w:szCs w:val="20"/>
              </w:rPr>
              <w:t xml:space="preserve">I can analyze the author’s choices regarding the development of characters. </w:t>
            </w:r>
          </w:p>
        </w:tc>
        <w:tc>
          <w:tcPr>
            <w:tcW w:w="2142" w:type="dxa"/>
          </w:tcPr>
          <w:p w14:paraId="29BE5CEB" w14:textId="441582A7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D94840">
              <w:rPr>
                <w:rFonts w:eastAsiaTheme="minorEastAsia"/>
                <w:sz w:val="20"/>
                <w:szCs w:val="20"/>
              </w:rPr>
              <w:t xml:space="preserve">I can analyze the author’s choices regarding the development of characters. </w:t>
            </w:r>
          </w:p>
        </w:tc>
        <w:tc>
          <w:tcPr>
            <w:tcW w:w="2142" w:type="dxa"/>
          </w:tcPr>
          <w:p w14:paraId="06FF6589" w14:textId="68ACB9AB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D94840">
              <w:rPr>
                <w:rFonts w:eastAsiaTheme="minorEastAsia"/>
                <w:sz w:val="20"/>
                <w:szCs w:val="20"/>
              </w:rPr>
              <w:t xml:space="preserve">I can analyze the author’s choices regarding the development of characters. </w:t>
            </w:r>
          </w:p>
        </w:tc>
        <w:tc>
          <w:tcPr>
            <w:tcW w:w="2142" w:type="dxa"/>
          </w:tcPr>
          <w:p w14:paraId="0EE6FB29" w14:textId="6A9E762A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D94840">
              <w:rPr>
                <w:rFonts w:eastAsiaTheme="minorEastAsia"/>
                <w:sz w:val="20"/>
                <w:szCs w:val="20"/>
              </w:rPr>
              <w:t xml:space="preserve">I can analyze the author’s choices regarding the development of characters. </w:t>
            </w:r>
          </w:p>
        </w:tc>
        <w:tc>
          <w:tcPr>
            <w:tcW w:w="2142" w:type="dxa"/>
          </w:tcPr>
          <w:p w14:paraId="4E3E04D2" w14:textId="28D6EAF2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I can analyze the author’s choices regarding the development of characters. </w:t>
            </w:r>
          </w:p>
        </w:tc>
      </w:tr>
      <w:tr w:rsidR="00A813A9" w14:paraId="588130B7" w14:textId="77777777" w:rsidTr="372EF96A">
        <w:tc>
          <w:tcPr>
            <w:tcW w:w="3780" w:type="dxa"/>
          </w:tcPr>
          <w:p w14:paraId="40FA33A8" w14:textId="2BC0187E" w:rsidR="00A813A9" w:rsidRPr="00C87694" w:rsidRDefault="00A813A9" w:rsidP="00A813A9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2ED78816" w:rsidR="00A813A9" w:rsidRDefault="00A813A9" w:rsidP="00A813A9">
            <w:pPr>
              <w:rPr>
                <w:rFonts w:eastAsiaTheme="minorEastAsia"/>
              </w:rPr>
            </w:pPr>
            <w:r>
              <w:rPr>
                <w:rFonts w:eastAsiaTheme="minorEastAsia"/>
                <w:sz w:val="20"/>
                <w:szCs w:val="20"/>
              </w:rPr>
              <w:t>The most important part is Ch. 1</w:t>
            </w:r>
          </w:p>
        </w:tc>
        <w:tc>
          <w:tcPr>
            <w:tcW w:w="2142" w:type="dxa"/>
          </w:tcPr>
          <w:p w14:paraId="64DEE27C" w14:textId="19D77EC3" w:rsidR="00A813A9" w:rsidRPr="00691DAC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D629F8">
              <w:t xml:space="preserve">The most important part is Ch. </w:t>
            </w:r>
            <w:r>
              <w:t>2</w:t>
            </w:r>
          </w:p>
        </w:tc>
        <w:tc>
          <w:tcPr>
            <w:tcW w:w="2142" w:type="dxa"/>
          </w:tcPr>
          <w:p w14:paraId="55A3A0C9" w14:textId="1A341554" w:rsidR="00A813A9" w:rsidRPr="00691DAC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D629F8">
              <w:t xml:space="preserve">The most important part is Ch. </w:t>
            </w:r>
            <w:r>
              <w:t>3</w:t>
            </w:r>
          </w:p>
        </w:tc>
        <w:tc>
          <w:tcPr>
            <w:tcW w:w="2142" w:type="dxa"/>
          </w:tcPr>
          <w:p w14:paraId="015C34E3" w14:textId="674D108B" w:rsidR="00A813A9" w:rsidRPr="00691DAC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D629F8">
              <w:t xml:space="preserve">The most important part is Ch. </w:t>
            </w:r>
            <w:r>
              <w:t>4</w:t>
            </w:r>
          </w:p>
        </w:tc>
        <w:tc>
          <w:tcPr>
            <w:tcW w:w="2142" w:type="dxa"/>
          </w:tcPr>
          <w:p w14:paraId="4965913A" w14:textId="51FFBA41" w:rsidR="00A813A9" w:rsidRPr="00691DAC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</w:tr>
      <w:tr w:rsidR="00A813A9" w14:paraId="1135C957" w14:textId="77777777" w:rsidTr="372EF96A">
        <w:tc>
          <w:tcPr>
            <w:tcW w:w="3780" w:type="dxa"/>
          </w:tcPr>
          <w:p w14:paraId="5C694D6B" w14:textId="0E9CBB65" w:rsidR="00A813A9" w:rsidRPr="00C87694" w:rsidRDefault="00A813A9" w:rsidP="00A813A9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7927902E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A813A9">
              <w:rPr>
                <w:rFonts w:eastAsiaTheme="minorEastAsia"/>
                <w:sz w:val="28"/>
                <w:szCs w:val="28"/>
              </w:rPr>
              <w:t>Refer students back to the text.</w:t>
            </w:r>
          </w:p>
        </w:tc>
        <w:tc>
          <w:tcPr>
            <w:tcW w:w="2142" w:type="dxa"/>
          </w:tcPr>
          <w:p w14:paraId="7F64F384" w14:textId="2E381231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A813A9">
              <w:rPr>
                <w:rFonts w:eastAsiaTheme="minorEastAsia"/>
                <w:sz w:val="28"/>
                <w:szCs w:val="28"/>
              </w:rPr>
              <w:t>Refer students back to the text.</w:t>
            </w:r>
          </w:p>
        </w:tc>
        <w:tc>
          <w:tcPr>
            <w:tcW w:w="2142" w:type="dxa"/>
          </w:tcPr>
          <w:p w14:paraId="5EDF0E7B" w14:textId="60A39B58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644CB4">
              <w:rPr>
                <w:rFonts w:eastAsiaTheme="minorEastAsia"/>
                <w:sz w:val="28"/>
                <w:szCs w:val="28"/>
              </w:rPr>
              <w:t>Refer students back to the text.</w:t>
            </w:r>
          </w:p>
        </w:tc>
        <w:tc>
          <w:tcPr>
            <w:tcW w:w="2142" w:type="dxa"/>
          </w:tcPr>
          <w:p w14:paraId="2E3B6485" w14:textId="2375855C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644CB4">
              <w:rPr>
                <w:rFonts w:eastAsiaTheme="minorEastAsia"/>
                <w:sz w:val="28"/>
                <w:szCs w:val="28"/>
              </w:rPr>
              <w:t>Refer students back to the text.</w:t>
            </w:r>
          </w:p>
        </w:tc>
        <w:tc>
          <w:tcPr>
            <w:tcW w:w="2142" w:type="dxa"/>
          </w:tcPr>
          <w:p w14:paraId="378C0202" w14:textId="3A98209A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644CB4">
              <w:rPr>
                <w:rFonts w:eastAsiaTheme="minorEastAsia"/>
                <w:sz w:val="28"/>
                <w:szCs w:val="28"/>
              </w:rPr>
              <w:t>Refer students back to the text.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4CF2CED5" w14:textId="77777777" w:rsidR="00A813A9" w:rsidRPr="00E071B9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6493C106" w14:textId="22A016C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360FDEA" w14:textId="794B20F0" w:rsidR="00E071B9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 w:rsidRPr="00A85A3C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11C80669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272000B6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2FDF5DD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A813A9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A813A9" w:rsidRPr="006D14C4" w:rsidRDefault="00A813A9" w:rsidP="00A813A9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62A55037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990EB1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48E04F5A" w14:textId="4873B767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990EB1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60510436" w14:textId="3D067EFD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1F1B87A0" w14:textId="7DF4AD91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7E2ED033" w14:textId="5E10231B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thumb-o-meter</w:t>
            </w:r>
          </w:p>
        </w:tc>
      </w:tr>
      <w:tr w:rsidR="00B14E10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B14E10" w:rsidRPr="00B14E10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are being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precise with the evidence they are using. </w:t>
            </w:r>
          </w:p>
        </w:tc>
        <w:tc>
          <w:tcPr>
            <w:tcW w:w="2142" w:type="dxa"/>
          </w:tcPr>
          <w:p w14:paraId="4FF94A81" w14:textId="11523553" w:rsidR="00B14E10" w:rsidRPr="00951D47" w:rsidRDefault="00A813A9" w:rsidP="00975027">
            <w:pPr>
              <w:rPr>
                <w:rFonts w:eastAsiaTheme="minorEastAsia"/>
                <w:sz w:val="22"/>
                <w:szCs w:val="22"/>
              </w:rPr>
            </w:pPr>
            <w:r w:rsidRPr="00A813A9">
              <w:rPr>
                <w:rFonts w:eastAsiaTheme="minorEastAsia"/>
                <w:sz w:val="22"/>
                <w:szCs w:val="22"/>
              </w:rPr>
              <w:t>What do we learn about Nick from his last conversation with Daisy and Tom?</w:t>
            </w:r>
          </w:p>
        </w:tc>
        <w:tc>
          <w:tcPr>
            <w:tcW w:w="2142" w:type="dxa"/>
          </w:tcPr>
          <w:p w14:paraId="29AC0D08" w14:textId="7E825647" w:rsidR="00B14E10" w:rsidRPr="00951D47" w:rsidRDefault="00E01850" w:rsidP="009E72B3">
            <w:pPr>
              <w:rPr>
                <w:rFonts w:eastAsiaTheme="minorEastAsia"/>
                <w:sz w:val="22"/>
                <w:szCs w:val="22"/>
              </w:rPr>
            </w:pPr>
            <w:r w:rsidRPr="00E01850">
              <w:rPr>
                <w:rFonts w:eastAsiaTheme="minorEastAsia"/>
                <w:sz w:val="22"/>
                <w:szCs w:val="22"/>
              </w:rPr>
              <w:t>What two things do you learn about Tom's personality when he breaks Myrtle's nose?</w:t>
            </w:r>
          </w:p>
        </w:tc>
        <w:tc>
          <w:tcPr>
            <w:tcW w:w="2142" w:type="dxa"/>
          </w:tcPr>
          <w:p w14:paraId="487CC166" w14:textId="13034EF8" w:rsidR="00691DAC" w:rsidRPr="00691DAC" w:rsidRDefault="00E01850" w:rsidP="00DC77A3">
            <w:pPr>
              <w:rPr>
                <w:rFonts w:eastAsiaTheme="minorEastAsia"/>
                <w:sz w:val="22"/>
                <w:szCs w:val="22"/>
              </w:rPr>
            </w:pPr>
            <w:r w:rsidRPr="00E01850">
              <w:rPr>
                <w:rFonts w:eastAsiaTheme="minorEastAsia"/>
                <w:sz w:val="22"/>
                <w:szCs w:val="22"/>
              </w:rPr>
              <w:t>What kind of rules or decorum does Nick tell the reader is the norm at these gatherings?</w:t>
            </w:r>
          </w:p>
        </w:tc>
        <w:tc>
          <w:tcPr>
            <w:tcW w:w="2142" w:type="dxa"/>
          </w:tcPr>
          <w:p w14:paraId="7514498E" w14:textId="0A8BD053" w:rsidR="00B14E10" w:rsidRPr="00951D47" w:rsidRDefault="00E01850" w:rsidP="00177994">
            <w:pPr>
              <w:rPr>
                <w:rFonts w:eastAsiaTheme="minorEastAsia"/>
                <w:sz w:val="22"/>
                <w:szCs w:val="22"/>
              </w:rPr>
            </w:pPr>
            <w:r w:rsidRPr="00E01850">
              <w:rPr>
                <w:rFonts w:eastAsiaTheme="minorEastAsia"/>
                <w:sz w:val="22"/>
                <w:szCs w:val="22"/>
              </w:rPr>
              <w:t>In Jordan’s flashback, how do you know that Daisy was a poplar young girl?</w:t>
            </w:r>
          </w:p>
        </w:tc>
        <w:tc>
          <w:tcPr>
            <w:tcW w:w="2142" w:type="dxa"/>
          </w:tcPr>
          <w:p w14:paraId="2656D52F" w14:textId="07374A8B" w:rsidR="00B31ACE" w:rsidRPr="00B31ACE" w:rsidRDefault="00A813A9" w:rsidP="00B31AC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2"/>
                <w:szCs w:val="22"/>
              </w:rPr>
              <w:t>Test</w:t>
            </w:r>
          </w:p>
        </w:tc>
      </w:tr>
      <w:tr w:rsidR="006D14C4" w14:paraId="21581B52" w14:textId="77777777" w:rsidTr="00A85A3C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0AE10386" w:rsidR="006D14C4" w:rsidRPr="00951D47" w:rsidRDefault="00A813A9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7D029AE1" w14:textId="5F69E61E" w:rsidR="006D14C4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What data about student learning do I want to collect during this lesson? When and how will I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check on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progress or gather this data?</w:t>
            </w:r>
          </w:p>
        </w:tc>
        <w:tc>
          <w:tcPr>
            <w:tcW w:w="2142" w:type="dxa"/>
          </w:tcPr>
          <w:p w14:paraId="21E4226B" w14:textId="51F59249" w:rsidR="00B14E10" w:rsidRPr="00951D47" w:rsidRDefault="00A813A9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48093478" w14:textId="1D250808" w:rsidR="00B14E10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242EB204" w14:textId="74E470A9" w:rsidR="00B14E10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162C0724" w:rsidR="00B14E10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6F563D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B14E10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B14E10" w:rsidRPr="00951D47" w:rsidRDefault="00B14E10" w:rsidP="372EF96A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B14E10" w:rsidRPr="00951D47" w:rsidRDefault="00B14E10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61E1627F" w:rsidR="00B14E10" w:rsidRPr="00951D47" w:rsidRDefault="00A813A9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62B6D9A9" w14:textId="04B5F0E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52E85C1C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372277D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405D1D05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</w:tr>
      <w:tr w:rsidR="00A813A9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A813A9" w:rsidRPr="00951D47" w:rsidRDefault="00A813A9" w:rsidP="00A813A9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</w:t>
            </w:r>
            <w:proofErr w:type="gramStart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execute</w:t>
            </w:r>
            <w:proofErr w:type="gramEnd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2A5D1A11" w:rsidR="00A813A9" w:rsidRPr="00951D47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The text</w:t>
            </w:r>
          </w:p>
        </w:tc>
        <w:tc>
          <w:tcPr>
            <w:tcW w:w="2142" w:type="dxa"/>
          </w:tcPr>
          <w:p w14:paraId="3324A010" w14:textId="331701FB" w:rsidR="00A813A9" w:rsidRPr="00951D47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7C0EE2">
              <w:rPr>
                <w:rFonts w:eastAsiaTheme="minorEastAsia"/>
                <w:sz w:val="20"/>
                <w:szCs w:val="20"/>
              </w:rPr>
              <w:t>The text</w:t>
            </w:r>
          </w:p>
        </w:tc>
        <w:tc>
          <w:tcPr>
            <w:tcW w:w="2142" w:type="dxa"/>
          </w:tcPr>
          <w:p w14:paraId="1F1D4342" w14:textId="14B3CEC8" w:rsidR="00A813A9" w:rsidRPr="00951D47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7C0EE2">
              <w:rPr>
                <w:rFonts w:eastAsiaTheme="minorEastAsia"/>
                <w:sz w:val="20"/>
                <w:szCs w:val="20"/>
              </w:rPr>
              <w:t>The text</w:t>
            </w:r>
          </w:p>
        </w:tc>
        <w:tc>
          <w:tcPr>
            <w:tcW w:w="2142" w:type="dxa"/>
          </w:tcPr>
          <w:p w14:paraId="40A9EC5B" w14:textId="511084E7" w:rsidR="00A813A9" w:rsidRPr="00951D47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7C0EE2">
              <w:rPr>
                <w:rFonts w:eastAsiaTheme="minorEastAsia"/>
                <w:sz w:val="20"/>
                <w:szCs w:val="20"/>
              </w:rPr>
              <w:t>The text</w:t>
            </w:r>
          </w:p>
        </w:tc>
        <w:tc>
          <w:tcPr>
            <w:tcW w:w="2142" w:type="dxa"/>
          </w:tcPr>
          <w:p w14:paraId="51DD2D6F" w14:textId="01C77F3E" w:rsidR="00A813A9" w:rsidRPr="00951D47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7C0EE2">
              <w:rPr>
                <w:rFonts w:eastAsiaTheme="minorEastAsia"/>
                <w:sz w:val="20"/>
                <w:szCs w:val="20"/>
              </w:rPr>
              <w:t>The text</w:t>
            </w:r>
          </w:p>
        </w:tc>
      </w:tr>
    </w:tbl>
    <w:p w14:paraId="78D6B8A2" w14:textId="2CCEE23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AA317F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A80EC42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01B04D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B6EBF55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396D590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E6B10BE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48D745F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36BD487B" w14:textId="77777777" w:rsidR="00A846A9" w:rsidRDefault="00A846A9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DF0CF7B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tbl>
      <w:tblPr>
        <w:tblStyle w:val="TableGrid1"/>
        <w:tblW w:w="14106" w:type="dxa"/>
        <w:tblInd w:w="-570" w:type="dxa"/>
        <w:tblLook w:val="04A0" w:firstRow="1" w:lastRow="0" w:firstColumn="1" w:lastColumn="0" w:noHBand="0" w:noVBand="1"/>
      </w:tblPr>
      <w:tblGrid>
        <w:gridCol w:w="2037"/>
        <w:gridCol w:w="1476"/>
        <w:gridCol w:w="3638"/>
        <w:gridCol w:w="3369"/>
        <w:gridCol w:w="1756"/>
        <w:gridCol w:w="1830"/>
      </w:tblGrid>
      <w:tr w:rsidR="00472520" w:rsidRPr="00472520" w14:paraId="1DAE5D49" w14:textId="77777777" w:rsidTr="00CC23AC">
        <w:trPr>
          <w:trHeight w:val="521"/>
        </w:trPr>
        <w:tc>
          <w:tcPr>
            <w:tcW w:w="20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7CE9A1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1B988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Lesson Frame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B696F5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questions will you ask?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FCA05C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are acceptable responses?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C75CB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Bloom’s Level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F9FB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Questioning Strategy</w:t>
            </w:r>
          </w:p>
        </w:tc>
      </w:tr>
      <w:tr w:rsidR="00472520" w:rsidRPr="00472520" w14:paraId="40AEB5B8" w14:textId="77777777" w:rsidTr="00CC23AC">
        <w:trPr>
          <w:trHeight w:val="1357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3D8965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Questioning Strategies</w:t>
            </w:r>
          </w:p>
          <w:p w14:paraId="64CCB34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0728A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Turn &amp; Talk</w:t>
            </w:r>
          </w:p>
          <w:p w14:paraId="59AF516E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Stop &amp; Jot</w:t>
            </w:r>
          </w:p>
          <w:p w14:paraId="35D3BCB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Sage &amp; Scribe</w:t>
            </w:r>
          </w:p>
          <w:p w14:paraId="16FC2E9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Peer &amp; Point</w:t>
            </w:r>
          </w:p>
          <w:p w14:paraId="639557A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Equity Sticks</w:t>
            </w:r>
          </w:p>
          <w:p w14:paraId="7351D1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Random Selector</w:t>
            </w:r>
          </w:p>
          <w:p w14:paraId="24D2AE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Rock, Paper, Scissors</w:t>
            </w:r>
          </w:p>
          <w:p w14:paraId="4170AD85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White Boards</w:t>
            </w:r>
          </w:p>
          <w:p w14:paraId="1ABD917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Color Cards</w:t>
            </w:r>
          </w:p>
          <w:p w14:paraId="7583883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Back 2 Back</w:t>
            </w:r>
          </w:p>
          <w:p w14:paraId="520E2A21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Debate</w:t>
            </w:r>
          </w:p>
          <w:p w14:paraId="04732702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Electronic Responses</w:t>
            </w: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0AC243C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Bellwork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6F6E796" w14:textId="1FB74E4F" w:rsidR="00472520" w:rsidRPr="00AD5890" w:rsidRDefault="00E01850" w:rsidP="00472520">
            <w:r w:rsidRPr="00E01850">
              <w:t>What do we learn about Nick from his last conversation with Daisy and Tom?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91F64DE" w14:textId="2E923D0B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46D90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Knowledge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5742E9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responses</w:t>
            </w:r>
          </w:p>
        </w:tc>
      </w:tr>
      <w:tr w:rsidR="00472520" w:rsidRPr="00472520" w14:paraId="3D70DD82" w14:textId="77777777" w:rsidTr="00CC23AC">
        <w:trPr>
          <w:trHeight w:val="1355"/>
        </w:trPr>
        <w:tc>
          <w:tcPr>
            <w:tcW w:w="2037" w:type="dxa"/>
            <w:vMerge/>
          </w:tcPr>
          <w:p w14:paraId="097E1BDA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FF4307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I Do/CFU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CBB2C4C" w14:textId="5F86F5DD" w:rsidR="00472520" w:rsidRPr="00472520" w:rsidRDefault="00E01850" w:rsidP="00177994">
            <w:pPr>
              <w:rPr>
                <w:sz w:val="22"/>
                <w:szCs w:val="22"/>
              </w:rPr>
            </w:pPr>
            <w:r w:rsidRPr="00E01850">
              <w:rPr>
                <w:sz w:val="22"/>
                <w:szCs w:val="22"/>
              </w:rPr>
              <w:t>What two things do you learn about Tom's personality when he breaks Myrtle's nose?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39F47C2" w14:textId="216DC82F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90C9E5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Comprehension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D9E5005" w14:textId="2AA2A1EF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45FD1F21" w14:textId="77777777" w:rsidTr="00CC23AC">
        <w:trPr>
          <w:trHeight w:val="460"/>
        </w:trPr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2DEE8A49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33BE5FE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We Do/CFU</w:t>
            </w:r>
          </w:p>
        </w:tc>
        <w:tc>
          <w:tcPr>
            <w:tcW w:w="363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1BF30217" w14:textId="2D98891D" w:rsidR="00472520" w:rsidRPr="00472520" w:rsidRDefault="00E01850" w:rsidP="00177994">
            <w:pPr>
              <w:rPr>
                <w:sz w:val="22"/>
                <w:szCs w:val="22"/>
              </w:rPr>
            </w:pPr>
            <w:r w:rsidRPr="00E01850">
              <w:rPr>
                <w:sz w:val="22"/>
                <w:szCs w:val="22"/>
              </w:rPr>
              <w:t>What kind of rules or decorum does Nick tell the reader is the norm at these gatherings?</w:t>
            </w:r>
          </w:p>
        </w:tc>
        <w:tc>
          <w:tcPr>
            <w:tcW w:w="336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54A3E467" w14:textId="65198CD9" w:rsidR="00861E77" w:rsidRPr="00861E77" w:rsidRDefault="00861E77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E7E182A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671C77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22C3F97D" w14:textId="77777777" w:rsidTr="00CC23AC">
        <w:trPr>
          <w:trHeight w:val="831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AA0101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Bloom’s Taxonomy</w:t>
            </w:r>
          </w:p>
          <w:p w14:paraId="09968A7E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F4BBD7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Knowledge: </w:t>
            </w:r>
            <w:r w:rsidRPr="00472520">
              <w:rPr>
                <w:i/>
                <w:iCs/>
                <w:sz w:val="19"/>
                <w:szCs w:val="19"/>
              </w:rPr>
              <w:t>Remembering information</w:t>
            </w:r>
          </w:p>
          <w:p w14:paraId="47B07930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Comprehension: </w:t>
            </w:r>
            <w:r w:rsidRPr="00472520">
              <w:rPr>
                <w:i/>
                <w:iCs/>
                <w:sz w:val="19"/>
                <w:szCs w:val="19"/>
              </w:rPr>
              <w:t>Explaining the meaning of information</w:t>
            </w:r>
          </w:p>
          <w:p w14:paraId="5826031F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Apply: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Use abstraction in concrete situations</w:t>
            </w:r>
          </w:p>
          <w:p w14:paraId="4552B08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Analyze: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Breaking down a whole into component parts</w:t>
            </w:r>
          </w:p>
          <w:p w14:paraId="104BE778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Synthesis: </w:t>
            </w:r>
            <w:r w:rsidRPr="00472520">
              <w:rPr>
                <w:i/>
                <w:iCs/>
                <w:sz w:val="19"/>
                <w:szCs w:val="19"/>
              </w:rPr>
              <w:t>Putting parts together to form a new and integrated whole</w:t>
            </w:r>
          </w:p>
          <w:p w14:paraId="4AFB9CB1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Evaluation: </w:t>
            </w:r>
            <w:r w:rsidRPr="00472520">
              <w:rPr>
                <w:i/>
                <w:iCs/>
                <w:sz w:val="19"/>
                <w:szCs w:val="19"/>
              </w:rPr>
              <w:t>Making judgements</w:t>
            </w:r>
          </w:p>
        </w:tc>
        <w:tc>
          <w:tcPr>
            <w:tcW w:w="1476" w:type="dxa"/>
            <w:vMerge/>
          </w:tcPr>
          <w:p w14:paraId="31B711B0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8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2E492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BA450D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F7C74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A5F56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65F277B6" w14:textId="77777777" w:rsidTr="00CC23AC">
        <w:trPr>
          <w:trHeight w:val="1505"/>
        </w:trPr>
        <w:tc>
          <w:tcPr>
            <w:tcW w:w="2037" w:type="dxa"/>
            <w:vMerge/>
          </w:tcPr>
          <w:p w14:paraId="5346E310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181AE8F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YDIP/CFU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712844F" w14:textId="4C138AC4" w:rsidR="00472520" w:rsidRPr="00472520" w:rsidRDefault="00E01850" w:rsidP="00177994">
            <w:pPr>
              <w:rPr>
                <w:sz w:val="22"/>
                <w:szCs w:val="22"/>
              </w:rPr>
            </w:pPr>
            <w:r w:rsidRPr="00E01850">
              <w:rPr>
                <w:sz w:val="22"/>
                <w:szCs w:val="22"/>
              </w:rPr>
              <w:t>Do you think Nick believes Gatsby’s story? How do you know?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2C6A94CE" w14:textId="69F1F3C8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FDB6EF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3CC22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Stop and Jot</w:t>
            </w:r>
          </w:p>
        </w:tc>
      </w:tr>
      <w:tr w:rsidR="00472520" w:rsidRPr="00472520" w14:paraId="76420EAB" w14:textId="77777777" w:rsidTr="00CC23AC">
        <w:trPr>
          <w:trHeight w:val="1355"/>
        </w:trPr>
        <w:tc>
          <w:tcPr>
            <w:tcW w:w="2037" w:type="dxa"/>
            <w:vMerge/>
          </w:tcPr>
          <w:p w14:paraId="21E77E06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DA7E2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Closure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1266D12" w14:textId="738BF409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330948" w14:textId="614B5918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2F7DC6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Evaluation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9CF7181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</w:t>
            </w:r>
          </w:p>
        </w:tc>
      </w:tr>
    </w:tbl>
    <w:p w14:paraId="12873769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72520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837CC"/>
    <w:rsid w:val="000D17BB"/>
    <w:rsid w:val="000D48DB"/>
    <w:rsid w:val="000E29DF"/>
    <w:rsid w:val="000F6E6B"/>
    <w:rsid w:val="00100F90"/>
    <w:rsid w:val="00177994"/>
    <w:rsid w:val="001E03B0"/>
    <w:rsid w:val="002132F9"/>
    <w:rsid w:val="00245CE0"/>
    <w:rsid w:val="002464EC"/>
    <w:rsid w:val="002823E7"/>
    <w:rsid w:val="0028439F"/>
    <w:rsid w:val="0028518F"/>
    <w:rsid w:val="0029511E"/>
    <w:rsid w:val="002F1398"/>
    <w:rsid w:val="002F3E1A"/>
    <w:rsid w:val="0030200C"/>
    <w:rsid w:val="00305B10"/>
    <w:rsid w:val="00312600"/>
    <w:rsid w:val="00331594"/>
    <w:rsid w:val="00341F97"/>
    <w:rsid w:val="003605F1"/>
    <w:rsid w:val="003E258D"/>
    <w:rsid w:val="003F32D8"/>
    <w:rsid w:val="003F6207"/>
    <w:rsid w:val="003F7171"/>
    <w:rsid w:val="004128F6"/>
    <w:rsid w:val="004200E6"/>
    <w:rsid w:val="00425846"/>
    <w:rsid w:val="004515DC"/>
    <w:rsid w:val="00463532"/>
    <w:rsid w:val="00472520"/>
    <w:rsid w:val="004926DE"/>
    <w:rsid w:val="004956D4"/>
    <w:rsid w:val="004A0621"/>
    <w:rsid w:val="004A2719"/>
    <w:rsid w:val="004B64E0"/>
    <w:rsid w:val="004D613E"/>
    <w:rsid w:val="00537EB6"/>
    <w:rsid w:val="00551A49"/>
    <w:rsid w:val="00554779"/>
    <w:rsid w:val="005C09FF"/>
    <w:rsid w:val="005C226F"/>
    <w:rsid w:val="00604835"/>
    <w:rsid w:val="00606D4E"/>
    <w:rsid w:val="00606EFA"/>
    <w:rsid w:val="00614329"/>
    <w:rsid w:val="006168BB"/>
    <w:rsid w:val="00621525"/>
    <w:rsid w:val="00664622"/>
    <w:rsid w:val="00666DB1"/>
    <w:rsid w:val="00691DAC"/>
    <w:rsid w:val="006B6007"/>
    <w:rsid w:val="006C49F3"/>
    <w:rsid w:val="006C5750"/>
    <w:rsid w:val="006D14C4"/>
    <w:rsid w:val="006F563D"/>
    <w:rsid w:val="0071024C"/>
    <w:rsid w:val="00730819"/>
    <w:rsid w:val="00736297"/>
    <w:rsid w:val="00785ED4"/>
    <w:rsid w:val="007A6E84"/>
    <w:rsid w:val="007B1CD6"/>
    <w:rsid w:val="007E411B"/>
    <w:rsid w:val="008255BE"/>
    <w:rsid w:val="00860A62"/>
    <w:rsid w:val="00861E77"/>
    <w:rsid w:val="00862289"/>
    <w:rsid w:val="00880EA6"/>
    <w:rsid w:val="00895617"/>
    <w:rsid w:val="008A591B"/>
    <w:rsid w:val="008B08F4"/>
    <w:rsid w:val="008C5316"/>
    <w:rsid w:val="008F2EE1"/>
    <w:rsid w:val="008F6748"/>
    <w:rsid w:val="00924453"/>
    <w:rsid w:val="00924A9F"/>
    <w:rsid w:val="00951D47"/>
    <w:rsid w:val="009571BC"/>
    <w:rsid w:val="00972913"/>
    <w:rsid w:val="00975027"/>
    <w:rsid w:val="009B3EF6"/>
    <w:rsid w:val="009D2636"/>
    <w:rsid w:val="009E72B3"/>
    <w:rsid w:val="00A41BC2"/>
    <w:rsid w:val="00A47A54"/>
    <w:rsid w:val="00A813A9"/>
    <w:rsid w:val="00A846A9"/>
    <w:rsid w:val="00A85A3C"/>
    <w:rsid w:val="00AA6CF2"/>
    <w:rsid w:val="00AB7593"/>
    <w:rsid w:val="00AD14A0"/>
    <w:rsid w:val="00AD5890"/>
    <w:rsid w:val="00AF7C23"/>
    <w:rsid w:val="00B13F89"/>
    <w:rsid w:val="00B14E10"/>
    <w:rsid w:val="00B206C7"/>
    <w:rsid w:val="00B31ACE"/>
    <w:rsid w:val="00B3656B"/>
    <w:rsid w:val="00B62B74"/>
    <w:rsid w:val="00B8329E"/>
    <w:rsid w:val="00BA6AC5"/>
    <w:rsid w:val="00BC6332"/>
    <w:rsid w:val="00BF4B91"/>
    <w:rsid w:val="00BF6FDF"/>
    <w:rsid w:val="00C150C0"/>
    <w:rsid w:val="00C24A9A"/>
    <w:rsid w:val="00C87694"/>
    <w:rsid w:val="00CA057D"/>
    <w:rsid w:val="00CA4B18"/>
    <w:rsid w:val="00CB11A7"/>
    <w:rsid w:val="00CE6E39"/>
    <w:rsid w:val="00CF1376"/>
    <w:rsid w:val="00D24C6E"/>
    <w:rsid w:val="00D72D68"/>
    <w:rsid w:val="00DA249E"/>
    <w:rsid w:val="00DC48D4"/>
    <w:rsid w:val="00DC77A3"/>
    <w:rsid w:val="00DF1D16"/>
    <w:rsid w:val="00E01850"/>
    <w:rsid w:val="00E01CF3"/>
    <w:rsid w:val="00E071B9"/>
    <w:rsid w:val="00E17751"/>
    <w:rsid w:val="00E46E55"/>
    <w:rsid w:val="00E5461D"/>
    <w:rsid w:val="00E56D9C"/>
    <w:rsid w:val="00E677A5"/>
    <w:rsid w:val="00EC311D"/>
    <w:rsid w:val="00EF14F8"/>
    <w:rsid w:val="00F0324E"/>
    <w:rsid w:val="00F042EA"/>
    <w:rsid w:val="00F1340D"/>
    <w:rsid w:val="00F17A05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  <w:style w:type="table" w:customStyle="1" w:styleId="TableGrid1">
    <w:name w:val="Table Grid1"/>
    <w:basedOn w:val="TableNormal"/>
    <w:next w:val="TableGrid"/>
    <w:uiPriority w:val="39"/>
    <w:rsid w:val="00472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3</cp:revision>
  <cp:lastPrinted>2024-10-25T14:50:00Z</cp:lastPrinted>
  <dcterms:created xsi:type="dcterms:W3CDTF">2024-11-15T17:14:00Z</dcterms:created>
  <dcterms:modified xsi:type="dcterms:W3CDTF">2024-11-15T17:16:00Z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