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38E2A" w14:textId="77777777" w:rsidR="00D1680B" w:rsidRDefault="00D1680B" w:rsidP="002A24C4">
      <w:pPr>
        <w:widowControl w:val="0"/>
        <w:jc w:val="both"/>
      </w:pPr>
      <w:r>
        <w:rPr>
          <w:u w:val="single"/>
        </w:rPr>
        <w:t>Internal Board Policies - Methods of Operation</w:t>
      </w:r>
    </w:p>
    <w:p w14:paraId="2A11DBC4" w14:textId="77777777" w:rsidR="002A24C4" w:rsidRDefault="002A24C4" w:rsidP="002A24C4">
      <w:pPr>
        <w:widowControl w:val="0"/>
        <w:jc w:val="both"/>
      </w:pPr>
    </w:p>
    <w:p w14:paraId="0A28C772" w14:textId="77777777" w:rsidR="002A24C4" w:rsidRPr="00391FED" w:rsidRDefault="002A24C4" w:rsidP="002A24C4">
      <w:pPr>
        <w:widowControl w:val="0"/>
        <w:jc w:val="both"/>
        <w:rPr>
          <w:b/>
        </w:rPr>
      </w:pPr>
      <w:r w:rsidRPr="00391FED">
        <w:rPr>
          <w:b/>
          <w:u w:val="single"/>
        </w:rPr>
        <w:t>8341 Types of Meetings</w:t>
      </w:r>
    </w:p>
    <w:p w14:paraId="597820B4" w14:textId="77777777" w:rsidR="002A24C4" w:rsidRDefault="002A24C4" w:rsidP="002A24C4">
      <w:pPr>
        <w:widowControl w:val="0"/>
        <w:jc w:val="both"/>
        <w:rPr>
          <w:u w:val="single"/>
        </w:rPr>
      </w:pPr>
    </w:p>
    <w:p w14:paraId="708B6D62" w14:textId="77777777" w:rsidR="002A24C4" w:rsidRDefault="002A24C4" w:rsidP="002A24C4">
      <w:pPr>
        <w:widowControl w:val="0"/>
        <w:jc w:val="both"/>
      </w:pPr>
      <w:r>
        <w:rPr>
          <w:u w:val="single"/>
        </w:rPr>
        <w:t>Regular Meetings</w:t>
      </w:r>
    </w:p>
    <w:p w14:paraId="2FF03A32" w14:textId="77777777" w:rsidR="002A24C4" w:rsidRDefault="002A24C4" w:rsidP="002A24C4">
      <w:pPr>
        <w:widowControl w:val="0"/>
        <w:jc w:val="both"/>
      </w:pPr>
    </w:p>
    <w:p w14:paraId="2DF551BA" w14:textId="77777777" w:rsidR="002A24C4" w:rsidRDefault="002A24C4" w:rsidP="002A24C4">
      <w:pPr>
        <w:widowControl w:val="0"/>
        <w:jc w:val="both"/>
      </w:pPr>
      <w:r>
        <w:t xml:space="preserve">Regular scheduled meetings may be of two kinds:  business or education or both.  The education meetings may be held for the purpose of reviewing the school program, or for the development and discussion of policy.  </w:t>
      </w:r>
    </w:p>
    <w:p w14:paraId="374D23F0" w14:textId="77777777" w:rsidR="002A24C4" w:rsidRDefault="002A24C4" w:rsidP="002A24C4">
      <w:pPr>
        <w:widowControl w:val="0"/>
        <w:jc w:val="both"/>
      </w:pPr>
    </w:p>
    <w:p w14:paraId="25688016" w14:textId="77777777" w:rsidR="002A24C4" w:rsidRDefault="002A24C4" w:rsidP="002A24C4">
      <w:pPr>
        <w:widowControl w:val="0"/>
        <w:jc w:val="both"/>
      </w:pPr>
      <w:r>
        <w:rPr>
          <w:u w:val="single"/>
        </w:rPr>
        <w:t>Special Meetings</w:t>
      </w:r>
    </w:p>
    <w:p w14:paraId="350693ED" w14:textId="77777777" w:rsidR="002A24C4" w:rsidRDefault="002A24C4" w:rsidP="002A24C4">
      <w:pPr>
        <w:widowControl w:val="0"/>
        <w:jc w:val="both"/>
      </w:pPr>
    </w:p>
    <w:p w14:paraId="5865ACF5" w14:textId="77777777" w:rsidR="002A24C4" w:rsidRDefault="002A24C4" w:rsidP="002A24C4">
      <w:pPr>
        <w:widowControl w:val="0"/>
        <w:jc w:val="both"/>
      </w:pPr>
      <w:r>
        <w:t xml:space="preserve">A special meeting may be called by the President of the Board, or upon recommendation of the Superintendent of Schools, or by two members collectively in the event the President fails to act, upon due notice as specified by the bylaws.  No business shall be transacted at a special meeting except that for which the meeting is called or that of an emergency nature.  </w:t>
      </w:r>
    </w:p>
    <w:p w14:paraId="4FA9263E" w14:textId="77777777" w:rsidR="002A24C4" w:rsidRDefault="002A24C4" w:rsidP="002A24C4">
      <w:pPr>
        <w:widowControl w:val="0"/>
        <w:jc w:val="both"/>
      </w:pPr>
    </w:p>
    <w:p w14:paraId="272D004D" w14:textId="77777777" w:rsidR="002A24C4" w:rsidRDefault="002A24C4" w:rsidP="002A24C4">
      <w:pPr>
        <w:widowControl w:val="0"/>
        <w:jc w:val="both"/>
      </w:pPr>
      <w:r>
        <w:t xml:space="preserve">Legal Reference: </w:t>
      </w:r>
      <w:r>
        <w:tab/>
        <w:t>§79-554</w:t>
      </w:r>
    </w:p>
    <w:p w14:paraId="04715368" w14:textId="77777777" w:rsidR="002A24C4" w:rsidRDefault="002A24C4" w:rsidP="002A24C4">
      <w:pPr>
        <w:widowControl w:val="0"/>
        <w:jc w:val="both"/>
      </w:pPr>
      <w:r>
        <w:tab/>
      </w:r>
      <w:r>
        <w:tab/>
      </w:r>
      <w:r>
        <w:tab/>
        <w:t>§84-1409</w:t>
      </w:r>
    </w:p>
    <w:p w14:paraId="0A99708F" w14:textId="77777777" w:rsidR="002A24C4" w:rsidRDefault="002A24C4" w:rsidP="002A24C4">
      <w:pPr>
        <w:widowControl w:val="0"/>
        <w:jc w:val="both"/>
      </w:pPr>
    </w:p>
    <w:p w14:paraId="3B7FE522" w14:textId="77777777" w:rsidR="002A24C4" w:rsidRPr="0044676C" w:rsidRDefault="002A24C4" w:rsidP="002A24C4">
      <w:pPr>
        <w:jc w:val="both"/>
      </w:pPr>
      <w:r>
        <w:t>Adopted</w:t>
      </w:r>
      <w:r w:rsidRPr="0044676C">
        <w:t>:  June 13, 2005</w:t>
      </w:r>
    </w:p>
    <w:p w14:paraId="34861242" w14:textId="77777777" w:rsidR="002A24C4" w:rsidRDefault="002A24C4" w:rsidP="002A24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936C1F">
        <w:t>,</w:t>
      </w:r>
    </w:p>
    <w:p w14:paraId="16773DB4" w14:textId="4BB4AD78" w:rsidR="00936C1F" w:rsidRPr="006126F5" w:rsidRDefault="00936C1F" w:rsidP="002A24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6F6974">
        <w:t>, Mar. 10, 2014</w:t>
      </w:r>
      <w:r w:rsidR="00032D3A">
        <w:t>, Mar. 9, 2015</w:t>
      </w:r>
      <w:r w:rsidR="00001298">
        <w:t>, Mar. 14, 2016</w:t>
      </w:r>
      <w:r w:rsidR="005744B2">
        <w:t>, Mar. 13, 2017</w:t>
      </w:r>
      <w:r w:rsidR="00F4154E">
        <w:t>, Apr. 9, 2018</w:t>
      </w:r>
      <w:r w:rsidR="001F4C9C">
        <w:t>, June 10, 2019</w:t>
      </w:r>
      <w:r w:rsidR="002A3DC2">
        <w:t>, April 13, 2020</w:t>
      </w:r>
      <w:r w:rsidR="008E649B">
        <w:t>, April 12, 2021</w:t>
      </w:r>
      <w:r w:rsidR="006011A9">
        <w:t>, April 11, 2022</w:t>
      </w:r>
      <w:r w:rsidR="00DF2776">
        <w:t>, April 10, 2023</w:t>
      </w:r>
      <w:r w:rsidR="001B1F0F">
        <w:t>, April 8, 2024</w:t>
      </w:r>
      <w:r w:rsidR="00F4154E">
        <w:t xml:space="preserve"> </w:t>
      </w:r>
      <w:r w:rsidR="001848A6">
        <w:t>,</w:t>
      </w:r>
      <w:r w:rsidR="001848A6" w:rsidRPr="000A75E6">
        <w:t xml:space="preserve"> </w:t>
      </w:r>
      <w:r w:rsidR="001848A6">
        <w:t>April 14, 2025</w:t>
      </w:r>
    </w:p>
    <w:p w14:paraId="7786E00E" w14:textId="77777777" w:rsidR="002A24C4" w:rsidRPr="00B927B9" w:rsidRDefault="002A24C4" w:rsidP="002A24C4">
      <w:pPr>
        <w:jc w:val="both"/>
      </w:pPr>
    </w:p>
    <w:p w14:paraId="0C4E65BC" w14:textId="77777777" w:rsidR="002A24C4" w:rsidRPr="00280DBD" w:rsidRDefault="002A24C4" w:rsidP="002A24C4">
      <w:pPr>
        <w:jc w:val="both"/>
      </w:pPr>
    </w:p>
    <w:p w14:paraId="36A19F76" w14:textId="77777777" w:rsidR="002A24C4" w:rsidRPr="00B06E06" w:rsidRDefault="002A24C4" w:rsidP="002A24C4">
      <w:pPr>
        <w:widowControl w:val="0"/>
        <w:spacing w:line="0" w:lineRule="atLeast"/>
        <w:jc w:val="both"/>
      </w:pPr>
    </w:p>
    <w:sectPr w:rsidR="002A24C4" w:rsidRPr="00B06E06">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61AB" w14:textId="77777777" w:rsidR="008A4F06" w:rsidRDefault="008A4F06">
      <w:r>
        <w:separator/>
      </w:r>
    </w:p>
  </w:endnote>
  <w:endnote w:type="continuationSeparator" w:id="0">
    <w:p w14:paraId="2F0F6E9C" w14:textId="77777777" w:rsidR="008A4F06" w:rsidRDefault="008A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F334" w14:textId="77777777" w:rsidR="002A24C4" w:rsidRDefault="002A24C4">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936C1F">
        <w:rPr>
          <w:noProof/>
        </w:rPr>
        <w:t>1</w:t>
      </w:r>
    </w:fldSimple>
  </w:p>
  <w:p w14:paraId="4FC607E7" w14:textId="77777777" w:rsidR="002A24C4" w:rsidRDefault="002A24C4">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3897" w14:textId="77777777" w:rsidR="002A24C4" w:rsidRDefault="002A24C4">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6011A9">
        <w:rPr>
          <w:noProof/>
        </w:rPr>
        <w:t>1</w:t>
      </w:r>
    </w:fldSimple>
  </w:p>
  <w:p w14:paraId="6C6BBA91" w14:textId="77777777" w:rsidR="002A24C4" w:rsidRDefault="002A24C4">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CE285" w14:textId="77777777" w:rsidR="008A4F06" w:rsidRDefault="008A4F06">
      <w:r>
        <w:separator/>
      </w:r>
    </w:p>
  </w:footnote>
  <w:footnote w:type="continuationSeparator" w:id="0">
    <w:p w14:paraId="7C4A4470" w14:textId="77777777" w:rsidR="008A4F06" w:rsidRDefault="008A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E2B1" w14:textId="77777777" w:rsidR="002A24C4" w:rsidRDefault="002A24C4">
    <w:pPr>
      <w:widowControl w:val="0"/>
      <w:tabs>
        <w:tab w:val="center" w:pos="4680"/>
        <w:tab w:val="right" w:pos="9360"/>
      </w:tabs>
    </w:pPr>
    <w:r>
      <w:t>Article 8</w:t>
    </w:r>
    <w:r>
      <w:tab/>
    </w:r>
    <w:r>
      <w:rPr>
        <w:b/>
      </w:rPr>
      <w:t>INTERNAL BOARD POLICIES</w:t>
    </w:r>
    <w:r>
      <w:tab/>
      <w:t>Policy No. 8341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39F4" w14:textId="77777777" w:rsidR="002A24C4" w:rsidRDefault="002A24C4">
    <w:pPr>
      <w:widowControl w:val="0"/>
      <w:tabs>
        <w:tab w:val="center" w:pos="4680"/>
        <w:tab w:val="right" w:pos="9360"/>
      </w:tabs>
    </w:pPr>
    <w:r>
      <w:t>Article 8</w:t>
    </w:r>
    <w:r>
      <w:tab/>
    </w:r>
    <w:r>
      <w:rPr>
        <w:b/>
      </w:rPr>
      <w:t>INTERNAL BOARD POLICIES</w:t>
    </w:r>
    <w:r>
      <w:tab/>
      <w:t>Policy No. 8341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B5"/>
    <w:rsid w:val="00001298"/>
    <w:rsid w:val="00032D3A"/>
    <w:rsid w:val="001848A6"/>
    <w:rsid w:val="001B00B5"/>
    <w:rsid w:val="001B1F0F"/>
    <w:rsid w:val="001F4C9C"/>
    <w:rsid w:val="002A24C4"/>
    <w:rsid w:val="002A3DC2"/>
    <w:rsid w:val="005744B2"/>
    <w:rsid w:val="00581C9E"/>
    <w:rsid w:val="005A1D23"/>
    <w:rsid w:val="006011A9"/>
    <w:rsid w:val="006F6974"/>
    <w:rsid w:val="008A4F06"/>
    <w:rsid w:val="008E649B"/>
    <w:rsid w:val="00924F1F"/>
    <w:rsid w:val="00936C1F"/>
    <w:rsid w:val="00AE7904"/>
    <w:rsid w:val="00D1680B"/>
    <w:rsid w:val="00DF2776"/>
    <w:rsid w:val="00F4154E"/>
    <w:rsid w:val="00FF0A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F14EB13"/>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32CA"/>
    <w:pPr>
      <w:tabs>
        <w:tab w:val="center" w:pos="4320"/>
        <w:tab w:val="right" w:pos="8640"/>
      </w:tabs>
    </w:pPr>
  </w:style>
  <w:style w:type="character" w:customStyle="1" w:styleId="HeaderChar">
    <w:name w:val="Header Char"/>
    <w:link w:val="Header"/>
    <w:uiPriority w:val="99"/>
    <w:semiHidden/>
    <w:rsid w:val="004A32CA"/>
    <w:rPr>
      <w:sz w:val="24"/>
    </w:rPr>
  </w:style>
  <w:style w:type="paragraph" w:styleId="Footer">
    <w:name w:val="footer"/>
    <w:basedOn w:val="Normal"/>
    <w:link w:val="FooterChar"/>
    <w:uiPriority w:val="99"/>
    <w:semiHidden/>
    <w:unhideWhenUsed/>
    <w:rsid w:val="004A32CA"/>
    <w:pPr>
      <w:tabs>
        <w:tab w:val="center" w:pos="4320"/>
        <w:tab w:val="right" w:pos="8640"/>
      </w:tabs>
    </w:pPr>
  </w:style>
  <w:style w:type="character" w:customStyle="1" w:styleId="FooterChar">
    <w:name w:val="Footer Char"/>
    <w:link w:val="Footer"/>
    <w:uiPriority w:val="99"/>
    <w:semiHidden/>
    <w:rsid w:val="004A32CA"/>
    <w:rPr>
      <w:sz w:val="24"/>
    </w:rPr>
  </w:style>
  <w:style w:type="paragraph" w:styleId="BalloonText">
    <w:name w:val="Balloon Text"/>
    <w:basedOn w:val="Normal"/>
    <w:link w:val="BalloonTextChar"/>
    <w:uiPriority w:val="99"/>
    <w:semiHidden/>
    <w:unhideWhenUsed/>
    <w:rsid w:val="00936C1F"/>
    <w:rPr>
      <w:rFonts w:ascii="Lucida Grande" w:hAnsi="Lucida Grande" w:cs="Lucida Grande"/>
      <w:sz w:val="18"/>
      <w:szCs w:val="18"/>
    </w:rPr>
  </w:style>
  <w:style w:type="character" w:customStyle="1" w:styleId="BalloonTextChar">
    <w:name w:val="Balloon Text Char"/>
    <w:link w:val="BalloonText"/>
    <w:uiPriority w:val="99"/>
    <w:semiHidden/>
    <w:rsid w:val="00936C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2013-04-08T15:41:00Z</cp:lastPrinted>
  <dcterms:created xsi:type="dcterms:W3CDTF">2024-04-17T17:09:00Z</dcterms:created>
  <dcterms:modified xsi:type="dcterms:W3CDTF">2025-03-27T14:19:00Z</dcterms:modified>
</cp:coreProperties>
</file>