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04309" w:rsidRDefault="00804309">
      <w:pPr>
        <w:widowControl w:val="0"/>
        <w:jc w:val="both"/>
      </w:pPr>
    </w:p>
    <w:p w14:paraId="00000002" w14:textId="77777777" w:rsidR="00804309" w:rsidRDefault="00804309">
      <w:pPr>
        <w:widowControl w:val="0"/>
      </w:pPr>
    </w:p>
    <w:p w14:paraId="00000003" w14:textId="77777777" w:rsidR="00804309" w:rsidRDefault="00000000">
      <w:pPr>
        <w:widowControl w:val="0"/>
        <w:jc w:val="both"/>
      </w:pPr>
      <w:r>
        <w:rPr>
          <w:u w:val="single"/>
        </w:rPr>
        <w:t>Community Relations</w:t>
      </w:r>
    </w:p>
    <w:p w14:paraId="00000004" w14:textId="77777777" w:rsidR="00804309" w:rsidRDefault="00804309">
      <w:pPr>
        <w:widowControl w:val="0"/>
        <w:jc w:val="both"/>
      </w:pPr>
    </w:p>
    <w:p w14:paraId="00000005" w14:textId="77777777" w:rsidR="00804309" w:rsidRDefault="00000000">
      <w:pPr>
        <w:tabs>
          <w:tab w:val="left" w:pos="-720"/>
        </w:tabs>
        <w:jc w:val="both"/>
      </w:pPr>
      <w:r>
        <w:rPr>
          <w:u w:val="single"/>
        </w:rPr>
        <w:t>Publications, Radio, and Television</w:t>
      </w:r>
      <w:r>
        <w:tab/>
      </w:r>
      <w:r>
        <w:tab/>
      </w:r>
      <w:r>
        <w:tab/>
      </w:r>
      <w:r>
        <w:tab/>
      </w:r>
      <w:r>
        <w:tab/>
      </w:r>
    </w:p>
    <w:p w14:paraId="00000006" w14:textId="77777777" w:rsidR="00804309" w:rsidRDefault="00804309">
      <w:pPr>
        <w:tabs>
          <w:tab w:val="left" w:pos="-720"/>
        </w:tabs>
        <w:jc w:val="both"/>
      </w:pPr>
    </w:p>
    <w:p w14:paraId="00000007" w14:textId="77777777" w:rsidR="00804309" w:rsidRDefault="00000000">
      <w:pPr>
        <w:tabs>
          <w:tab w:val="left" w:pos="-720"/>
        </w:tabs>
        <w:jc w:val="both"/>
      </w:pPr>
      <w:r>
        <w:t>The Board of Education welcomes the active participation of print and electronic mass media in promoting educational programs in Cass County School District No. 13-0001.  All resultant news coverage of academic or extracurricular activities must be presented in the public interest.  No identification of the school with the promotion of any commercial or political enterprise will be permitted.</w:t>
      </w:r>
    </w:p>
    <w:p w14:paraId="00000008" w14:textId="77777777" w:rsidR="00804309" w:rsidRDefault="00804309">
      <w:pPr>
        <w:tabs>
          <w:tab w:val="left" w:pos="-720"/>
        </w:tabs>
        <w:jc w:val="both"/>
      </w:pPr>
    </w:p>
    <w:p w14:paraId="00000009" w14:textId="77777777" w:rsidR="00804309" w:rsidRDefault="00000000">
      <w:pPr>
        <w:tabs>
          <w:tab w:val="left" w:pos="-720"/>
        </w:tabs>
        <w:jc w:val="both"/>
      </w:pPr>
      <w:r>
        <w:t xml:space="preserve">All radio and television broadcasts of any school activity or contest originating from School District No. 13-0001 facilities must be coordinated through the office of the building principal sponsoring the activity.  </w:t>
      </w:r>
    </w:p>
    <w:p w14:paraId="0000000A" w14:textId="77777777" w:rsidR="00804309" w:rsidRDefault="00804309">
      <w:pPr>
        <w:tabs>
          <w:tab w:val="left" w:pos="-720"/>
        </w:tabs>
        <w:jc w:val="both"/>
      </w:pPr>
    </w:p>
    <w:p w14:paraId="0000000B" w14:textId="77777777" w:rsidR="00804309" w:rsidRDefault="00000000">
      <w:pPr>
        <w:tabs>
          <w:tab w:val="left" w:pos="-720"/>
        </w:tabs>
        <w:jc w:val="both"/>
      </w:pPr>
      <w:r>
        <w:t xml:space="preserve">Companies interested in such broadcasts will: </w:t>
      </w:r>
    </w:p>
    <w:p w14:paraId="0000000C" w14:textId="77777777" w:rsidR="00804309" w:rsidRDefault="00000000">
      <w:pPr>
        <w:tabs>
          <w:tab w:val="left" w:pos="-720"/>
        </w:tabs>
        <w:jc w:val="both"/>
      </w:pPr>
      <w:r>
        <w:t xml:space="preserve">(1) Contact the building principal at least forty-eight (48) hours in advance of the event to gain permission and make arrangements for attending the activity.  </w:t>
      </w:r>
    </w:p>
    <w:p w14:paraId="0000000D" w14:textId="77777777" w:rsidR="00804309" w:rsidRDefault="00000000">
      <w:pPr>
        <w:tabs>
          <w:tab w:val="left" w:pos="-720"/>
        </w:tabs>
        <w:jc w:val="both"/>
      </w:pPr>
      <w:r>
        <w:t xml:space="preserve">(2) Any company interested in broadcasting an activity will be responsible for all necessary equipment, transmission lines, power sources, and accompanying expenses.  </w:t>
      </w:r>
    </w:p>
    <w:p w14:paraId="0000000E" w14:textId="77777777" w:rsidR="00804309" w:rsidRDefault="00000000">
      <w:pPr>
        <w:tabs>
          <w:tab w:val="left" w:pos="-720"/>
        </w:tabs>
        <w:jc w:val="both"/>
      </w:pPr>
      <w:r>
        <w:t xml:space="preserve">(3) Any company interested in broadcasting an activity will be responsible for any financial and legal liabilities pertaining to its own equipment and personnel.  </w:t>
      </w:r>
    </w:p>
    <w:p w14:paraId="0000000F" w14:textId="77777777" w:rsidR="00804309" w:rsidRDefault="00804309">
      <w:pPr>
        <w:tabs>
          <w:tab w:val="left" w:pos="-720"/>
        </w:tabs>
        <w:jc w:val="both"/>
      </w:pPr>
    </w:p>
    <w:p w14:paraId="00000010" w14:textId="77777777" w:rsidR="00804309" w:rsidRDefault="00000000">
      <w:pPr>
        <w:tabs>
          <w:tab w:val="left" w:pos="-720"/>
          <w:tab w:val="left" w:pos="0"/>
          <w:tab w:val="left" w:pos="720"/>
          <w:tab w:val="left" w:pos="1440"/>
          <w:tab w:val="left" w:pos="2160"/>
          <w:tab w:val="left" w:pos="2880"/>
          <w:tab w:val="left" w:pos="3600"/>
          <w:tab w:val="left" w:pos="4320"/>
        </w:tabs>
        <w:ind w:left="5040" w:hanging="5040"/>
        <w:jc w:val="both"/>
      </w:pPr>
      <w:r>
        <w:t>Legal Reference:  Neb. Rev. Stat. §79-443</w:t>
      </w:r>
      <w:r>
        <w:tab/>
      </w:r>
      <w:r>
        <w:tab/>
        <w:t>Board Authority for Supervision and Control</w:t>
      </w:r>
    </w:p>
    <w:p w14:paraId="00000011" w14:textId="77777777" w:rsidR="00804309" w:rsidRDefault="00000000">
      <w:pPr>
        <w:tabs>
          <w:tab w:val="left" w:pos="-720"/>
          <w:tab w:val="left" w:pos="0"/>
          <w:tab w:val="left" w:pos="720"/>
          <w:tab w:val="left" w:pos="1440"/>
          <w:tab w:val="left" w:pos="2160"/>
          <w:tab w:val="left" w:pos="2880"/>
          <w:tab w:val="left" w:pos="3600"/>
          <w:tab w:val="left" w:pos="4320"/>
        </w:tabs>
        <w:ind w:left="5040" w:hanging="5040"/>
      </w:pPr>
      <w:r>
        <w:tab/>
      </w:r>
      <w:r>
        <w:tab/>
        <w:t xml:space="preserve">     Neb. Rev. Stat. §79-2105</w:t>
      </w:r>
      <w:r>
        <w:tab/>
      </w:r>
      <w:r>
        <w:tab/>
        <w:t>Telecommunications Operated by the Nebraska Educational Telecommunications Commission</w:t>
      </w:r>
    </w:p>
    <w:p w14:paraId="00000012" w14:textId="77777777" w:rsidR="00804309" w:rsidRDefault="00804309">
      <w:pPr>
        <w:tabs>
          <w:tab w:val="left" w:pos="-720"/>
          <w:tab w:val="left" w:pos="0"/>
          <w:tab w:val="left" w:pos="720"/>
          <w:tab w:val="left" w:pos="1440"/>
          <w:tab w:val="left" w:pos="2160"/>
          <w:tab w:val="left" w:pos="2880"/>
          <w:tab w:val="left" w:pos="3600"/>
          <w:tab w:val="left" w:pos="4320"/>
        </w:tabs>
        <w:ind w:left="5040" w:hanging="5040"/>
      </w:pPr>
    </w:p>
    <w:p w14:paraId="00000013" w14:textId="77777777" w:rsidR="00804309"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t>Date of Adoption:  January 9, 2006</w:t>
      </w:r>
    </w:p>
    <w:p w14:paraId="00000014" w14:textId="77777777" w:rsidR="00804309" w:rsidRDefault="00000000">
      <w:pPr>
        <w:widowControl w:val="0"/>
        <w:jc w:val="both"/>
      </w:pPr>
      <w:r>
        <w:t xml:space="preserve">Reviewed: Mar. 12, 2007, Mar. 10, 2008, Mar. 9, 2009, Mar. 8, 2010, Mar. 14, 2011, </w:t>
      </w:r>
    </w:p>
    <w:p w14:paraId="00000015" w14:textId="42F6B52C" w:rsidR="00804309" w:rsidRDefault="00000000">
      <w:pPr>
        <w:widowControl w:val="0"/>
        <w:jc w:val="both"/>
        <w:rPr>
          <w:u w:val="single"/>
        </w:rPr>
      </w:pPr>
      <w:r>
        <w:t xml:space="preserve">Dec. 12, 2011, Jan. 14, 2013, Jan. 13, 2014, Jan. 12, 2015, Jan. 11, 2016, Jan. 9, 2017, Jan. 15, 2018, Feb. 11, 2019, Feb. 10, 2020, Feb. 8, 2021, Feb. 14, 2022, Feb. 13, 2023 Feb.12, 2024, </w:t>
      </w:r>
      <w:r w:rsidR="005A2DB6">
        <w:t>Feb. 10, 2025</w:t>
      </w:r>
    </w:p>
    <w:p w14:paraId="00000016" w14:textId="77777777" w:rsidR="00804309" w:rsidRDefault="008043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17" w14:textId="77777777" w:rsidR="00804309" w:rsidRDefault="008043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000018" w14:textId="77777777" w:rsidR="00804309" w:rsidRDefault="008043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804309">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7486D" w14:textId="77777777" w:rsidR="001A449D" w:rsidRDefault="001A449D">
      <w:r>
        <w:separator/>
      </w:r>
    </w:p>
  </w:endnote>
  <w:endnote w:type="continuationSeparator" w:id="0">
    <w:p w14:paraId="78DF527F" w14:textId="77777777" w:rsidR="001A449D" w:rsidRDefault="001A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804309" w:rsidRDefault="00804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9518EAD" w:rsidR="00804309"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5A2DB6">
      <w:rPr>
        <w:noProof/>
      </w:rPr>
      <w:t>1</w:t>
    </w:r>
    <w:r>
      <w:fldChar w:fldCharType="end"/>
    </w:r>
    <w:r>
      <w:t xml:space="preserve"> of </w:t>
    </w:r>
    <w:r>
      <w:fldChar w:fldCharType="begin"/>
    </w:r>
    <w:r>
      <w:instrText>NUMPAGES</w:instrText>
    </w:r>
    <w:r>
      <w:fldChar w:fldCharType="separate"/>
    </w:r>
    <w:r w:rsidR="005A2DB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32EB" w14:textId="77777777" w:rsidR="001A449D" w:rsidRDefault="001A449D">
      <w:r>
        <w:separator/>
      </w:r>
    </w:p>
  </w:footnote>
  <w:footnote w:type="continuationSeparator" w:id="0">
    <w:p w14:paraId="1705F804" w14:textId="77777777" w:rsidR="001A449D" w:rsidRDefault="001A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77777777" w:rsidR="00804309" w:rsidRDefault="00804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77777777" w:rsidR="00804309"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pPr>
    <w:r>
      <w:t>Article 1</w:t>
    </w:r>
    <w:r>
      <w:tab/>
    </w:r>
    <w:r>
      <w:tab/>
    </w:r>
    <w:r>
      <w:tab/>
    </w:r>
    <w:r>
      <w:tab/>
    </w:r>
    <w:r>
      <w:tab/>
    </w:r>
    <w:r>
      <w:rPr>
        <w:b/>
      </w:rPr>
      <w:t>COMMUNITY RELATIONS</w:t>
    </w:r>
    <w:r>
      <w:tab/>
    </w:r>
    <w:r>
      <w:tab/>
    </w:r>
    <w:r>
      <w:tab/>
      <w:t>Policy No. 1070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09"/>
    <w:rsid w:val="001A449D"/>
    <w:rsid w:val="005A1D23"/>
    <w:rsid w:val="005A2DB6"/>
    <w:rsid w:val="00804309"/>
    <w:rsid w:val="008F3BC3"/>
    <w:rsid w:val="00D37829"/>
    <w:rsid w:val="00D6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D368FC"/>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alloonText">
    <w:name w:val="Balloon Text"/>
    <w:basedOn w:val="Normal"/>
    <w:link w:val="BalloonTextChar"/>
    <w:uiPriority w:val="99"/>
    <w:semiHidden/>
    <w:unhideWhenUsed/>
    <w:rsid w:val="00DD71BA"/>
    <w:rPr>
      <w:rFonts w:ascii="Lucida Grande" w:hAnsi="Lucida Grande"/>
      <w:sz w:val="18"/>
      <w:szCs w:val="18"/>
    </w:rPr>
  </w:style>
  <w:style w:type="character" w:customStyle="1" w:styleId="BalloonTextChar">
    <w:name w:val="Balloon Text Char"/>
    <w:link w:val="BalloonText"/>
    <w:uiPriority w:val="99"/>
    <w:semiHidden/>
    <w:rsid w:val="00DD71BA"/>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8Fs+rKS7jKwH4bSpgpclQBVcKA==">CgMxLjA4AHIhMXZXUHNzMWJNQ0ZLdmVyVXYybVRiNENZY29RLUd0LWNr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2024-02-21T17:43:00Z</dcterms:created>
  <dcterms:modified xsi:type="dcterms:W3CDTF">2025-03-26T20:16:00Z</dcterms:modified>
</cp:coreProperties>
</file>