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5EC0" w:rsidRPr="006876B4" w:rsidRDefault="006876B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473E44C8" wp14:editId="3AE17DCE">
                <wp:simplePos x="0" y="0"/>
                <wp:positionH relativeFrom="margin">
                  <wp:posOffset>-91440</wp:posOffset>
                </wp:positionH>
                <wp:positionV relativeFrom="paragraph">
                  <wp:posOffset>632460</wp:posOffset>
                </wp:positionV>
                <wp:extent cx="8763000" cy="6248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6248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45EC0" w:rsidRPr="006876B4" w:rsidRDefault="006876B4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6876B4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>ELD STANDARD:  The Language of Mathematics</w:t>
                            </w:r>
                            <w:r w:rsidRPr="006876B4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ab/>
                              <w:t>EXAMPLE TOPIC:  Statistics and graphing</w:t>
                            </w: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44C8" id="Rectangle 2" o:spid="_x0000_s1026" style="position:absolute;margin-left:-7.2pt;margin-top:49.8pt;width:690pt;height:49.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" o:allowincell="f" filled="f" strokecolor="black [3200]">
                <v:textbox inset="2.53958mm,2.53958mm,2.53958mm,2.53958mm">
                  <w:txbxContent>
                    <w:p w:rsidR="00D45EC0" w:rsidRPr="006876B4" w:rsidRDefault="006876B4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lang w:val="en-US"/>
                        </w:rPr>
                      </w:pPr>
                      <w:r w:rsidRPr="006876B4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>ELD STANDARD:  The Language of Mathematics</w:t>
                      </w:r>
                      <w:r w:rsidRPr="006876B4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ab/>
                        <w:t>EXAMPLE TOPIC:  Statistics and graphing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76B4">
        <w:rPr>
          <w:rFonts w:ascii="Arial" w:eastAsia="Arial" w:hAnsi="Arial" w:cs="Arial"/>
          <w:b/>
          <w:sz w:val="28"/>
          <w:szCs w:val="28"/>
          <w:lang w:val="en-US"/>
        </w:rPr>
        <w:t xml:space="preserve">Strands of MPIs </w:t>
      </w:r>
      <w:r w:rsidRPr="006876B4">
        <w:rPr>
          <w:rFonts w:ascii="Arial" w:eastAsia="Arial" w:hAnsi="Arial" w:cs="Arial"/>
          <w:b/>
          <w:lang w:val="en-US"/>
        </w:rPr>
        <w:t xml:space="preserve">developed by ACS BRES 6th grade teachers:  Carla Williams, </w:t>
      </w:r>
      <w:r w:rsidRPr="006876B4">
        <w:rPr>
          <w:rFonts w:ascii="Arial" w:eastAsia="Arial" w:hAnsi="Arial" w:cs="Arial"/>
          <w:b/>
          <w:lang w:val="en-US"/>
        </w:rPr>
        <w:br/>
        <w:t>Ginger Hopson, Cindy Lewis, and Kathy Evans, ESL</w:t>
      </w:r>
      <w:r w:rsidRPr="006876B4">
        <w:rPr>
          <w:rFonts w:ascii="Arial" w:eastAsia="Arial" w:hAnsi="Arial" w:cs="Arial"/>
          <w:b/>
          <w:lang w:val="en-US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2A251476" wp14:editId="6B8EC583">
                <wp:simplePos x="0" y="0"/>
                <wp:positionH relativeFrom="margin">
                  <wp:posOffset>6223000</wp:posOffset>
                </wp:positionH>
                <wp:positionV relativeFrom="paragraph">
                  <wp:posOffset>88900</wp:posOffset>
                </wp:positionV>
                <wp:extent cx="1333500" cy="330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2067" y="3618075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45EC0" w:rsidRDefault="006876B4">
                            <w:pPr>
                              <w:spacing w:before="120"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GRADE: 6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A251476" id="Rectangle 3" o:spid="_x0000_s1027" style="position:absolute;margin-left:490pt;margin-top:7pt;width:105pt;height:2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" o:allowincell="f" filled="f" strokecolor="black [3200]">
                <v:textbox inset="2.53958mm,1.2694mm,2.53958mm,1.2694mm">
                  <w:txbxContent>
                    <w:p w:rsidR="00D45EC0" w:rsidRDefault="006876B4">
                      <w:pPr>
                        <w:spacing w:before="120"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GRADE: 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5F3C19D7" wp14:editId="1FB832A3">
            <wp:simplePos x="0" y="0"/>
            <wp:positionH relativeFrom="margi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45EC0" w:rsidRPr="006876B4" w:rsidRDefault="00D45EC0">
      <w:pPr>
        <w:spacing w:before="240"/>
        <w:rPr>
          <w:lang w:val="en-US"/>
        </w:rPr>
      </w:pPr>
    </w:p>
    <w:p w:rsidR="00D45EC0" w:rsidRPr="006876B4" w:rsidRDefault="006876B4">
      <w:pPr>
        <w:spacing w:before="240"/>
        <w:rPr>
          <w:lang w:val="en-US"/>
        </w:rPr>
      </w:pPr>
      <w:r w:rsidRPr="006876B4">
        <w:rPr>
          <w:rFonts w:ascii="Arial" w:eastAsia="Arial" w:hAnsi="Arial" w:cs="Arial"/>
          <w:b/>
          <w:lang w:val="en-US"/>
        </w:rPr>
        <w:br/>
        <w:t xml:space="preserve">CONNECTION:  </w:t>
      </w:r>
      <w:r w:rsidRPr="006876B4">
        <w:rPr>
          <w:rFonts w:ascii="Arial" w:eastAsia="Arial" w:hAnsi="Arial" w:cs="Arial"/>
          <w:b/>
          <w:i/>
          <w:lang w:val="en-US"/>
        </w:rPr>
        <w:t>Common Core Math Standards for 6</w:t>
      </w:r>
      <w:r w:rsidRPr="006876B4">
        <w:rPr>
          <w:rFonts w:ascii="Arial" w:eastAsia="Arial" w:hAnsi="Arial" w:cs="Arial"/>
          <w:b/>
          <w:i/>
          <w:vertAlign w:val="superscript"/>
          <w:lang w:val="en-US"/>
        </w:rPr>
        <w:t>th</w:t>
      </w:r>
      <w:r w:rsidRPr="006876B4">
        <w:rPr>
          <w:rFonts w:ascii="Arial" w:eastAsia="Arial" w:hAnsi="Arial" w:cs="Arial"/>
          <w:b/>
          <w:i/>
          <w:lang w:val="en-US"/>
        </w:rPr>
        <w:t xml:space="preserve"> Grade:  6.SP.B.4- Statistics and Graphing:</w:t>
      </w:r>
      <w:r w:rsidRPr="006876B4">
        <w:rPr>
          <w:rFonts w:ascii="Arial" w:eastAsia="Arial" w:hAnsi="Arial" w:cs="Arial"/>
          <w:b/>
          <w:lang w:val="en-US"/>
        </w:rPr>
        <w:t xml:space="preserve">  Display numerical data in plots on a number line, including dot plots, histograms, and box plots.</w:t>
      </w:r>
    </w:p>
    <w:p w:rsidR="00D45EC0" w:rsidRPr="006876B4" w:rsidRDefault="006876B4">
      <w:pPr>
        <w:spacing w:before="240"/>
        <w:rPr>
          <w:lang w:val="en-US"/>
        </w:rPr>
      </w:pPr>
      <w:r w:rsidRPr="006876B4">
        <w:rPr>
          <w:rFonts w:ascii="Arial" w:eastAsia="Arial" w:hAnsi="Arial" w:cs="Arial"/>
          <w:b/>
          <w:lang w:val="en-US"/>
        </w:rPr>
        <w:t>EXAMPLE CONTEXT FOR LANGUAGE USE:</w:t>
      </w:r>
      <w:r w:rsidRPr="006876B4">
        <w:rPr>
          <w:rFonts w:ascii="Arial" w:eastAsia="Arial" w:hAnsi="Arial" w:cs="Arial"/>
          <w:lang w:val="en-US"/>
        </w:rPr>
        <w:t xml:space="preserve">  Understand and identify the parts of a graph</w:t>
      </w:r>
      <w:r w:rsidRPr="006876B4">
        <w:rPr>
          <w:rFonts w:ascii="Arial" w:eastAsia="Arial" w:hAnsi="Arial" w:cs="Arial"/>
          <w:lang w:val="en-US"/>
        </w:rPr>
        <w:t xml:space="preserve"> in measures of central tendency in order to choose and create the most appropriate graph for a given scenario.  </w:t>
      </w:r>
    </w:p>
    <w:tbl>
      <w:tblPr>
        <w:tblStyle w:val="a"/>
        <w:tblW w:w="13581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680"/>
        <w:gridCol w:w="2407"/>
        <w:gridCol w:w="2648"/>
        <w:gridCol w:w="2436"/>
        <w:gridCol w:w="2436"/>
        <w:gridCol w:w="2439"/>
        <w:gridCol w:w="535"/>
      </w:tblGrid>
      <w:tr w:rsidR="00D45EC0" w:rsidRPr="006876B4">
        <w:trPr>
          <w:trHeight w:val="160"/>
        </w:trPr>
        <w:tc>
          <w:tcPr>
            <w:tcW w:w="135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b/>
                <w:lang w:val="en-US"/>
              </w:rPr>
              <w:t xml:space="preserve">COGNITIVE FUNCTION: 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Students at all levels of English language proficiency </w:t>
            </w:r>
            <w:r w:rsidRPr="006876B4">
              <w:rPr>
                <w:rFonts w:ascii="Arial" w:eastAsia="Arial" w:hAnsi="Arial" w:cs="Arial"/>
                <w:b/>
                <w:lang w:val="en-US"/>
              </w:rPr>
              <w:t>APPLY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 their knowledge of numerical data.  </w:t>
            </w:r>
          </w:p>
        </w:tc>
      </w:tr>
      <w:tr w:rsidR="00D45EC0" w:rsidTr="006876B4">
        <w:trPr>
          <w:trHeight w:val="60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D45EC0" w:rsidRDefault="006876B4">
            <w:pPr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DOMAIN:  </w:t>
            </w:r>
            <w:proofErr w:type="spellStart"/>
            <w:r>
              <w:rPr>
                <w:rFonts w:ascii="Arial" w:eastAsia="Arial" w:hAnsi="Arial" w:cs="Arial"/>
                <w:b/>
              </w:rPr>
              <w:t>Listening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</w:rPr>
              <w:t>Speaking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</w:t>
            </w:r>
          </w:p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Entering</w:t>
            </w:r>
            <w:proofErr w:type="spellEnd"/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Emerging</w:t>
            </w:r>
            <w:proofErr w:type="spellEnd"/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Developing</w:t>
            </w:r>
            <w:proofErr w:type="spellEnd"/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</w:t>
            </w:r>
          </w:p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Expanding</w:t>
            </w:r>
            <w:proofErr w:type="spellEnd"/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</w:t>
            </w:r>
          </w:p>
          <w:p w:rsidR="00D45EC0" w:rsidRDefault="006876B4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Bridging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D45EC0" w:rsidRDefault="006876B4">
            <w:pPr>
              <w:spacing w:after="0"/>
              <w:ind w:left="113" w:right="113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6 - </w:t>
            </w:r>
            <w:proofErr w:type="spellStart"/>
            <w:r>
              <w:rPr>
                <w:rFonts w:ascii="Arial" w:eastAsia="Arial" w:hAnsi="Arial" w:cs="Arial"/>
                <w:b/>
              </w:rPr>
              <w:t>Reaching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45EC0" w:rsidRPr="006876B4">
        <w:trPr>
          <w:trHeight w:val="20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Default="00D45EC0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lang w:val="en-US"/>
              </w:rPr>
              <w:t>After direct teacher instruction on measures of central tendencies, students will identify and label the parts of a line plot using a word bank.  Students will listen to the teacher and repeat the applicable vocabulary words and point to them on the line p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lot.   With teacher support and steps provided, students will plot a given set of data </w:t>
            </w:r>
            <w:r w:rsidRPr="006876B4">
              <w:rPr>
                <w:rFonts w:ascii="Arial" w:eastAsia="Arial" w:hAnsi="Arial" w:cs="Arial"/>
                <w:lang w:val="en-US"/>
              </w:rPr>
              <w:lastRenderedPageBreak/>
              <w:t xml:space="preserve">points on the line plot.  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lang w:val="en-US"/>
              </w:rPr>
              <w:lastRenderedPageBreak/>
              <w:t>After direct teacher instruction on measures of central tendencie</w:t>
            </w:r>
            <w:bookmarkStart w:id="0" w:name="_GoBack"/>
            <w:bookmarkEnd w:id="0"/>
            <w:r w:rsidRPr="006876B4">
              <w:rPr>
                <w:rFonts w:ascii="Arial" w:eastAsia="Arial" w:hAnsi="Arial" w:cs="Arial"/>
                <w:lang w:val="en-US"/>
              </w:rPr>
              <w:t>s, students will identify and label the parts of a line plot.  Students will listen to the teacher and repeat the applicable vocabulary words and point to them on the line plot.   With teache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r support and steps provided, students will plot a given set of data points on the line plot. 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lang w:val="en-US"/>
              </w:rPr>
              <w:t>After direct teacher instruction on measures of central tendencies, students will identify and label the parts of a line plot and a dot plot. In pairs, students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 will read the vocabulary words and identify them on the plots.  With teacher support and steps provided, students will plot a given set of data points on the line plot </w:t>
            </w:r>
            <w:r w:rsidRPr="006876B4">
              <w:rPr>
                <w:rFonts w:ascii="Arial" w:eastAsia="Arial" w:hAnsi="Arial" w:cs="Arial"/>
                <w:lang w:val="en-US"/>
              </w:rPr>
              <w:lastRenderedPageBreak/>
              <w:t xml:space="preserve">and the dot plot. 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lang w:val="en-US"/>
              </w:rPr>
              <w:lastRenderedPageBreak/>
              <w:t>After direct teacher instruction on measures of central tendencies,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 students will identify and label the parts of a line plot, a dot plot, and a box plot.   In pairs, students will label the vocabulary words. With teacher support and steps provided, students will plot a given set of data points on all three plots. 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lang w:val="en-US"/>
              </w:rPr>
              <w:t>After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 direct teacher instruction on measures of central tendencies, students will identify and label the parts of a line plot, a dot plot, and a box plot.   With teacher support as needed, students will choose the most appropriate data display for given scenari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os.  They will defend their choices to a partner and explain their </w:t>
            </w:r>
            <w:r w:rsidRPr="006876B4">
              <w:rPr>
                <w:rFonts w:ascii="Arial" w:eastAsia="Arial" w:hAnsi="Arial" w:cs="Arial"/>
                <w:lang w:val="en-US"/>
              </w:rPr>
              <w:lastRenderedPageBreak/>
              <w:t>reasoning.</w:t>
            </w: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Pr="006876B4" w:rsidRDefault="00D45EC0">
            <w:pPr>
              <w:spacing w:after="0"/>
              <w:jc w:val="center"/>
              <w:rPr>
                <w:lang w:val="en-US"/>
              </w:rPr>
            </w:pPr>
          </w:p>
        </w:tc>
      </w:tr>
      <w:tr w:rsidR="00D45EC0" w:rsidRPr="006876B4">
        <w:trPr>
          <w:trHeight w:val="560"/>
        </w:trPr>
        <w:tc>
          <w:tcPr>
            <w:tcW w:w="135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D45EC0" w:rsidRPr="006876B4" w:rsidRDefault="006876B4">
            <w:pPr>
              <w:spacing w:after="0"/>
              <w:rPr>
                <w:lang w:val="en-US"/>
              </w:rPr>
            </w:pPr>
            <w:r w:rsidRPr="006876B4">
              <w:rPr>
                <w:rFonts w:ascii="Arial" w:eastAsia="Arial" w:hAnsi="Arial" w:cs="Arial"/>
                <w:b/>
                <w:lang w:val="en-US"/>
              </w:rPr>
              <w:t>TOPIC-RELATED LANGUAGE: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 Students at all levels of English language proficiency interact with grade-level words and expressions, such as: number line, data, data points, central tendency, line plot, dot plot, box plot, mean, median, mode, range, upper quartile, lower quartile, up</w:t>
            </w:r>
            <w:r w:rsidRPr="006876B4">
              <w:rPr>
                <w:rFonts w:ascii="Arial" w:eastAsia="Arial" w:hAnsi="Arial" w:cs="Arial"/>
                <w:lang w:val="en-US"/>
              </w:rPr>
              <w:t xml:space="preserve">per extreme, and lower extreme.  </w:t>
            </w:r>
          </w:p>
        </w:tc>
      </w:tr>
    </w:tbl>
    <w:p w:rsidR="00D45EC0" w:rsidRPr="006876B4" w:rsidRDefault="006876B4">
      <w:pPr>
        <w:rPr>
          <w:lang w:val="en-US"/>
        </w:rPr>
      </w:pPr>
      <w:r w:rsidRPr="006876B4">
        <w:rPr>
          <w:rFonts w:ascii="Arial" w:eastAsia="Arial" w:hAnsi="Arial" w:cs="Arial"/>
          <w:b/>
          <w:sz w:val="28"/>
          <w:szCs w:val="28"/>
          <w:lang w:val="en-US"/>
        </w:rPr>
        <w:br/>
      </w:r>
    </w:p>
    <w:sectPr w:rsidR="00D45EC0" w:rsidRPr="006876B4">
      <w:pgSz w:w="15840" w:h="122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0"/>
    <w:rsid w:val="006876B4"/>
    <w:rsid w:val="00D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28DAA-2D14-40E0-9A5D-3627F0AD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Evans</dc:creator>
  <cp:lastModifiedBy>Kathy Evans</cp:lastModifiedBy>
  <cp:revision>2</cp:revision>
  <dcterms:created xsi:type="dcterms:W3CDTF">2016-09-26T21:31:00Z</dcterms:created>
  <dcterms:modified xsi:type="dcterms:W3CDTF">2016-09-26T21:31:00Z</dcterms:modified>
</cp:coreProperties>
</file>